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52"/>
        <w:jc w:val="center"/>
        <w:rPr>
          <w:rFonts w:ascii="方正小标宋_GBK" w:eastAsia="方正小标宋_GBK" w:cs="方正小标宋_GBK" w:hint="eastAsia"/>
          <w:sz w:val="44"/>
          <w:szCs w:val="44"/>
          <w:lang w:bidi="ar-SA"/>
        </w:rPr>
      </w:pPr>
      <w:bookmarkStart w:id="0" w:name="_Hlk25540369"/>
      <w:bookmarkStart w:id="1" w:name="cogw__正文__file"/>
      <w:r>
        <w:rPr>
          <w:rFonts w:ascii="方正小标宋_GBK" w:eastAsia="方正小标宋_GBK" w:cs="方正小标宋_GBK" w:hint="eastAsia"/>
          <w:sz w:val="44"/>
          <w:szCs w:val="44"/>
          <w:lang w:bidi="ar-SA"/>
        </w:rPr>
        <w:t>金陵海关2025年政府信息公开工作年度报告</w:t>
      </w:r>
      <w:bookmarkEnd w:id="0"/>
    </w:p>
    <w:p>
      <w:pPr>
        <w:pStyle w:val="29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eastAsia="方正仿宋_GBK"/>
          <w:color w:val="000000"/>
          <w:sz w:val="32"/>
          <w:szCs w:val="32"/>
        </w:rPr>
      </w:pPr>
    </w:p>
    <w:p>
      <w:pPr>
        <w:pStyle w:val="29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color w:val="000000"/>
          <w:sz w:val="21"/>
          <w:szCs w:val="21"/>
        </w:rPr>
      </w:pPr>
      <w:r>
        <w:rPr>
          <w:rFonts w:eastAsia="方正仿宋_GBK" w:hint="eastAsia"/>
          <w:color w:val="000000"/>
          <w:sz w:val="32"/>
          <w:szCs w:val="32"/>
        </w:rPr>
        <w:t>本报告根据《中华人民共和国政府信息公开条例》（国务院令第</w:t>
      </w:r>
      <w:r>
        <w:rPr>
          <w:rFonts w:eastAsia="方正仿宋_GBK"/>
          <w:color w:val="000000"/>
          <w:sz w:val="32"/>
          <w:szCs w:val="32"/>
        </w:rPr>
        <w:t>711</w:t>
      </w:r>
      <w:r>
        <w:rPr>
          <w:rFonts w:eastAsia="方正仿宋_GBK" w:hint="eastAsia"/>
          <w:color w:val="000000"/>
          <w:sz w:val="32"/>
          <w:szCs w:val="32"/>
        </w:rPr>
        <w:t>号）和《国务院办公厅政府信息与政务公开办公室关于印发〈中华人民共和国政府信息公开工作年度报告格式〉的通知》（国办公开办函〔</w:t>
      </w:r>
      <w:r>
        <w:rPr>
          <w:rFonts w:eastAsia="方正仿宋_GBK"/>
          <w:color w:val="000000"/>
          <w:sz w:val="32"/>
          <w:szCs w:val="32"/>
        </w:rPr>
        <w:t>2021</w:t>
      </w:r>
      <w:r>
        <w:rPr>
          <w:rFonts w:eastAsia="方正仿宋_GBK" w:hint="eastAsia"/>
          <w:color w:val="000000"/>
          <w:sz w:val="32"/>
          <w:szCs w:val="32"/>
        </w:rPr>
        <w:t>〕</w:t>
      </w:r>
      <w:r>
        <w:rPr>
          <w:rFonts w:eastAsia="方正仿宋_GBK"/>
          <w:color w:val="000000"/>
          <w:sz w:val="32"/>
          <w:szCs w:val="32"/>
        </w:rPr>
        <w:t>30</w:t>
      </w:r>
      <w:r>
        <w:rPr>
          <w:rFonts w:eastAsia="方正仿宋_GBK" w:hint="eastAsia"/>
          <w:color w:val="000000"/>
          <w:sz w:val="32"/>
          <w:szCs w:val="32"/>
        </w:rPr>
        <w:t>号）要求，梳理</w:t>
      </w:r>
      <w:r>
        <w:rPr>
          <w:rFonts w:eastAsia="方正仿宋_GBK"/>
          <w:color w:val="000000"/>
          <w:sz w:val="32"/>
          <w:szCs w:val="32"/>
        </w:rPr>
        <w:t>202</w:t>
      </w:r>
      <w:r>
        <w:rPr>
          <w:rFonts w:eastAsia="方正仿宋_GBK" w:hint="eastAsia"/>
          <w:color w:val="000000"/>
          <w:sz w:val="32"/>
          <w:szCs w:val="32"/>
        </w:rPr>
        <w:t>5年度金陵海关政府信息公开工作情况编制而成。年报中所列数据的统计期限，自</w:t>
      </w:r>
      <w:r>
        <w:rPr>
          <w:rFonts w:eastAsia="方正仿宋_GBK"/>
          <w:color w:val="000000"/>
          <w:sz w:val="32"/>
          <w:szCs w:val="32"/>
        </w:rPr>
        <w:t>202</w:t>
      </w:r>
      <w:r>
        <w:rPr>
          <w:rFonts w:eastAsia="方正仿宋_GBK" w:hint="eastAsia"/>
          <w:color w:val="000000"/>
          <w:sz w:val="32"/>
          <w:szCs w:val="32"/>
        </w:rPr>
        <w:t>5年</w:t>
      </w:r>
      <w:r>
        <w:rPr>
          <w:rFonts w:eastAsia="方正仿宋_GBK"/>
          <w:color w:val="000000"/>
          <w:sz w:val="32"/>
          <w:szCs w:val="32"/>
        </w:rPr>
        <w:t>1</w:t>
      </w:r>
      <w:r>
        <w:rPr>
          <w:rFonts w:eastAsia="方正仿宋_GBK" w:hint="eastAsia"/>
          <w:color w:val="000000"/>
          <w:sz w:val="32"/>
          <w:szCs w:val="32"/>
        </w:rPr>
        <w:t>月</w:t>
      </w:r>
      <w:r>
        <w:rPr>
          <w:rFonts w:eastAsia="方正仿宋_GBK"/>
          <w:color w:val="000000"/>
          <w:sz w:val="32"/>
          <w:szCs w:val="32"/>
        </w:rPr>
        <w:t>1</w:t>
      </w:r>
      <w:r>
        <w:rPr>
          <w:rFonts w:eastAsia="方正仿宋_GBK" w:hint="eastAsia"/>
          <w:color w:val="000000"/>
          <w:sz w:val="32"/>
          <w:szCs w:val="32"/>
        </w:rPr>
        <w:t>日起至</w:t>
      </w:r>
      <w:r>
        <w:rPr>
          <w:rFonts w:eastAsia="方正仿宋_GBK"/>
          <w:color w:val="000000"/>
          <w:sz w:val="32"/>
          <w:szCs w:val="32"/>
        </w:rPr>
        <w:t>202</w:t>
      </w:r>
      <w:r>
        <w:rPr>
          <w:rFonts w:eastAsia="方正仿宋_GBK" w:hint="eastAsia"/>
          <w:color w:val="000000"/>
          <w:sz w:val="32"/>
          <w:szCs w:val="32"/>
        </w:rPr>
        <w:t>5年</w:t>
      </w:r>
      <w:r>
        <w:rPr>
          <w:rFonts w:eastAsia="方正仿宋_GBK"/>
          <w:color w:val="000000"/>
          <w:sz w:val="32"/>
          <w:szCs w:val="32"/>
        </w:rPr>
        <w:t>12</w:t>
      </w:r>
      <w:r>
        <w:rPr>
          <w:rFonts w:eastAsia="方正仿宋_GBK" w:hint="eastAsia"/>
          <w:color w:val="000000"/>
          <w:sz w:val="32"/>
          <w:szCs w:val="32"/>
        </w:rPr>
        <w:t>月</w:t>
      </w:r>
      <w:r>
        <w:rPr>
          <w:rFonts w:eastAsia="方正仿宋_GBK"/>
          <w:color w:val="000000"/>
          <w:sz w:val="32"/>
          <w:szCs w:val="32"/>
        </w:rPr>
        <w:t>31</w:t>
      </w:r>
      <w:r>
        <w:rPr>
          <w:rFonts w:eastAsia="方正仿宋_GBK" w:hint="eastAsia"/>
          <w:color w:val="000000"/>
          <w:sz w:val="32"/>
          <w:szCs w:val="32"/>
        </w:rPr>
        <w:t>日止。如对报告有意见、建议，请联系金陵海关办公室（</w:t>
      </w:r>
      <w:r>
        <w:rPr>
          <w:rFonts w:eastAsia="方正仿宋_GBK"/>
          <w:color w:val="000000"/>
          <w:sz w:val="32"/>
          <w:szCs w:val="32"/>
        </w:rPr>
        <w:t>025-8442</w:t>
      </w:r>
      <w:r>
        <w:rPr>
          <w:rFonts w:eastAsia="方正仿宋_GBK" w:hint="eastAsia"/>
          <w:color w:val="000000"/>
          <w:sz w:val="32"/>
          <w:szCs w:val="32"/>
        </w:rPr>
        <w:t>3738）；电子邮箱</w:t>
      </w:r>
      <w:r>
        <w:rPr>
          <w:rFonts w:eastAsia="方正仿宋_GBK"/>
          <w:color w:val="000000"/>
          <w:sz w:val="32"/>
          <w:szCs w:val="32"/>
        </w:rPr>
        <w:t>（</w:t>
      </w:r>
      <w:r>
        <w:rPr>
          <w:rFonts w:eastAsia="方正仿宋_GBK"/>
          <w:color w:val="000000"/>
          <w:sz w:val="32"/>
        </w:rPr>
        <w:t>nj</w:t>
      </w:r>
      <w:r>
        <w:rPr>
          <w:rFonts w:eastAsia="方正仿宋_GBK" w:hint="eastAsia"/>
          <w:color w:val="000000"/>
          <w:sz w:val="32"/>
        </w:rPr>
        <w:t>jl</w:t>
      </w:r>
      <w:r>
        <w:rPr>
          <w:rFonts w:eastAsia="方正仿宋_GBK"/>
          <w:color w:val="000000"/>
          <w:sz w:val="32"/>
        </w:rPr>
        <w:t>hg_zwgk@customs.gov.cn</w:t>
      </w:r>
      <w:r>
        <w:rPr>
          <w:rFonts w:eastAsia="方正仿宋_GBK" w:hint="eastAsia"/>
          <w:color w:val="000000"/>
          <w:sz w:val="32"/>
          <w:szCs w:val="32"/>
        </w:rPr>
        <w:t>）。</w:t>
      </w:r>
    </w:p>
    <w:p>
      <w:pPr>
        <w:pStyle w:val="29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 w:hint="eastAsia"/>
          <w:bCs/>
          <w:sz w:val="32"/>
          <w:szCs w:val="32"/>
          <w:lang w:bidi="ar-SA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  <w:lang w:bidi="ar-SA"/>
        </w:rPr>
        <w:t>一、总体情况</w:t>
      </w:r>
    </w:p>
    <w:p>
      <w:pPr>
        <w:widowControl/>
        <w:autoSpaceDE w:val="0"/>
        <w:snapToGrid w:val="0"/>
        <w:spacing w:line="560" w:lineRule="exact"/>
        <w:ind w:firstLineChars="200" w:firstLine="616"/>
        <w:rPr>
          <w:rFonts w:hint="eastAsia"/>
          <w:spacing w:val="-6"/>
        </w:rPr>
      </w:pPr>
      <w:r>
        <w:rPr>
          <w:rFonts w:hint="eastAsia"/>
          <w:spacing w:val="-6"/>
        </w:rPr>
        <w:t>2025年，金陵海关以习近平新时代中国特色社会主义思想为指导，深入贯彻党的二十届四中全会精神，严格遵守《中华人民共和国政府信息公开条例》规定，紧密围绕海关总署、南京海关政务公开工作部署要求，坚持“人民海关为人民”工作理念，以标准化规范化建设为牵引，扎实推进基层政务公开各项工作。</w:t>
      </w:r>
    </w:p>
    <w:p>
      <w:pPr>
        <w:pStyle w:val="54"/>
        <w:adjustRightInd w:val="0"/>
        <w:snapToGrid w:val="0"/>
        <w:ind w:firstLineChars="200" w:firstLine="624"/>
        <w:rPr>
          <w:rFonts w:cs="Arial" w:hint="eastAsia"/>
          <w:kern w:val="0"/>
          <w:szCs w:val="32"/>
          <w:lang w:bidi="ar-SA"/>
        </w:rPr>
      </w:pPr>
      <w:r>
        <w:rPr>
          <w:rFonts w:ascii="方正楷体_GBK" w:eastAsia="方正楷体_GBK" w:cs="Arial" w:hint="eastAsia"/>
          <w:color w:val="000000"/>
          <w:kern w:val="0"/>
          <w:szCs w:val="32"/>
          <w:lang w:bidi="ar-SA"/>
        </w:rPr>
        <w:t>一是以提质增效为目标，筑牢信息公开工作根基。</w:t>
      </w:r>
      <w:r>
        <w:rPr>
          <w:rFonts w:cs="Arial" w:hint="eastAsia"/>
          <w:kern w:val="0"/>
          <w:szCs w:val="32"/>
          <w:lang w:bidi="ar-SA"/>
        </w:rPr>
        <w:t>严格落实上级海关关于政务公开的最新工作部署，按时在南京海关门户网站规范公开相关信息。通过企业座谈</w:t>
      </w:r>
      <w:r>
        <w:rPr>
          <w:rFonts w:cs="Arial"/>
          <w:kern w:val="0"/>
          <w:szCs w:val="32"/>
          <w:lang w:bidi="ar-SA"/>
        </w:rPr>
        <w:t>会</w:t>
      </w:r>
      <w:r>
        <w:rPr>
          <w:rFonts w:cs="Arial" w:hint="eastAsia"/>
          <w:kern w:val="0"/>
          <w:szCs w:val="32"/>
          <w:lang w:bidi="ar-SA"/>
        </w:rPr>
        <w:t>、实地走访调研、新媒体定向推送等多种形式，向企业及行政相对人细致宣讲、精准解读海关最新政策与公告，通报典型案例，主动征集社会公众对海关信息公开工作的意见建议，不断优化公开内容与呈现方式。全年共受理政府信息公开申请11件，其中1件按法定程序和时限妥善办结，10件结转至2026年度继续办理。</w:t>
      </w:r>
    </w:p>
    <w:p>
      <w:pPr>
        <w:pStyle w:val="54"/>
        <w:adjustRightInd w:val="0"/>
        <w:snapToGrid w:val="0"/>
        <w:ind w:firstLineChars="200" w:firstLine="624"/>
        <w:rPr>
          <w:rFonts w:cs="Arial" w:hint="eastAsia"/>
          <w:kern w:val="0"/>
          <w:szCs w:val="32"/>
          <w:lang w:bidi="ar-SA"/>
        </w:rPr>
      </w:pPr>
      <w:r>
        <w:rPr>
          <w:rFonts w:ascii="方正楷体_GBK" w:eastAsia="方正楷体_GBK" w:cs="Arial" w:hint="eastAsia"/>
          <w:color w:val="000000"/>
          <w:kern w:val="0"/>
          <w:szCs w:val="32"/>
          <w:lang w:bidi="ar-SA"/>
        </w:rPr>
        <w:t>二是以服务优化为核心，提升咨询应答保障水平。</w:t>
      </w:r>
      <w:r>
        <w:rPr>
          <w:rFonts w:cs="Arial" w:hint="eastAsia"/>
          <w:kern w:val="0"/>
          <w:szCs w:val="32"/>
          <w:lang w:bidi="ar-SA"/>
        </w:rPr>
        <w:t>及时更新完善对外联络方式，</w:t>
      </w:r>
      <w:bookmarkStart w:id="2" w:name="_GoBack"/>
      <w:bookmarkEnd w:id="2"/>
      <w:r>
        <w:rPr>
          <w:rFonts w:cs="Arial" w:hint="eastAsia"/>
          <w:kern w:val="0"/>
          <w:szCs w:val="32"/>
          <w:lang w:bidi="ar-SA"/>
        </w:rPr>
        <w:t>健全咨询投诉受理、流转、反馈的闭环管理机制，确保群众诉求得到快速响应、妥善处置。2025年办结12345政务热线、12360海关服务热线工单23单，开设“智多星”AI热线受理转接各类咨询来电；重点打造“通关邮我宁放心”优质服务品牌，在“海关总署12360热线”“南京海关12360服务热线”微信公众号发布8篇政策解读新媒体稿件，有效提升政策知晓度和解读实效，咨询服务专业化水平显著增强，群众满意度持续向好。</w:t>
      </w:r>
    </w:p>
    <w:p>
      <w:pPr>
        <w:pStyle w:val="54"/>
        <w:adjustRightInd w:val="0"/>
        <w:snapToGrid w:val="0"/>
        <w:ind w:firstLineChars="200" w:firstLine="624"/>
        <w:rPr>
          <w:rFonts w:cs="Arial" w:hint="eastAsia"/>
          <w:kern w:val="0"/>
          <w:szCs w:val="32"/>
          <w:lang w:bidi="ar-SA"/>
        </w:rPr>
      </w:pPr>
      <w:r>
        <w:rPr>
          <w:rFonts w:ascii="方正楷体_GBK" w:eastAsia="方正楷体_GBK" w:cs="Arial" w:hint="eastAsia"/>
          <w:color w:val="000000"/>
          <w:kern w:val="0"/>
          <w:szCs w:val="32"/>
          <w:lang w:bidi="ar-SA"/>
        </w:rPr>
        <w:t>三是以多维传播为抓手，扩大海关工作社会影响</w:t>
      </w:r>
      <w:r>
        <w:rPr>
          <w:rFonts w:ascii="方正楷体_GBK" w:eastAsia="方正楷体_GBK" w:cs="Arial"/>
          <w:color w:val="000000"/>
          <w:kern w:val="0"/>
          <w:szCs w:val="32"/>
          <w:lang w:bidi="ar-SA"/>
        </w:rPr>
        <w:t>力</w:t>
      </w:r>
      <w:r>
        <w:rPr>
          <w:rFonts w:ascii="方正楷体_GBK" w:eastAsia="方正楷体_GBK" w:cs="Arial" w:hint="eastAsia"/>
          <w:color w:val="000000"/>
          <w:kern w:val="0"/>
          <w:szCs w:val="32"/>
          <w:lang w:bidi="ar-SA"/>
        </w:rPr>
        <w:t>。</w:t>
      </w:r>
      <w:r>
        <w:rPr>
          <w:rFonts w:cs="Arial" w:hint="eastAsia"/>
          <w:kern w:val="0"/>
          <w:szCs w:val="32"/>
          <w:lang w:bidi="ar-SA"/>
        </w:rPr>
        <w:t>围绕企业群众关切的</w:t>
      </w:r>
      <w:r>
        <w:rPr>
          <w:rFonts w:cs="Arial"/>
          <w:kern w:val="0"/>
          <w:szCs w:val="32"/>
          <w:lang w:bidi="ar-SA"/>
        </w:rPr>
        <w:t>重要事项</w:t>
      </w:r>
      <w:r>
        <w:rPr>
          <w:rFonts w:cs="Arial" w:hint="eastAsia"/>
          <w:kern w:val="0"/>
          <w:szCs w:val="32"/>
          <w:lang w:bidi="ar-SA"/>
        </w:rPr>
        <w:t>，聚焦服务中国—中亚贸易畅通合作平台、AEO认证惠企政策落地、跨境贸易便利化措施升级，以及海关在严守国门生物安全底线、助力江苏自贸试验区南京片区建设、严打濒危动植物及其制品走私、加强知识产权海关保护等方面的工作成果，开展多渠道、全方位媒体宣传。联合南京地区海关召开1场新闻发布会，全面展现海关履职风采，营造良好社会舆论环境。</w:t>
      </w:r>
    </w:p>
    <w:p>
      <w:pPr>
        <w:pStyle w:val="46"/>
        <w:adjustRightInd w:val="0"/>
        <w:snapToGrid w:val="0"/>
        <w:spacing w:afterLines="50" w:after="218"/>
        <w:ind w:firstLineChars="200" w:firstLine="624"/>
        <w:rPr>
          <w:rFonts w:ascii="方正黑体_GBK" w:eastAsia="方正黑体_GBK" w:cs="楷体_GB2312" w:hint="eastAsia"/>
          <w:bCs/>
          <w:szCs w:val="32"/>
          <w:shd w:val="clear" w:color="auto" w:fill="FFFFFF"/>
          <w:lang w:bidi="ar-SA"/>
        </w:rPr>
      </w:pPr>
      <w:r>
        <w:rPr>
          <w:rFonts w:ascii="方正黑体_GBK" w:eastAsia="方正黑体_GBK" w:cs="楷体_GB2312" w:hint="eastAsia"/>
          <w:bCs/>
          <w:szCs w:val="32"/>
          <w:shd w:val="clear" w:color="auto" w:fill="FFFFFF"/>
          <w:lang w:bidi="ar-SA"/>
        </w:rPr>
        <w:t>二、主动公开政府信息情况</w:t>
      </w:r>
    </w:p>
    <w:tbl>
      <w:tblPr>
        <w:jc w:val="center"/>
        <w:tblW w:w="8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19"/>
        <w:gridCol w:w="2183"/>
        <w:gridCol w:w="1936"/>
        <w:gridCol w:w="2156"/>
      </w:tblGrid>
      <w:tr>
        <w:trPr>
          <w:trHeight w:val="495"/>
        </w:trPr>
        <w:tc>
          <w:tcPr>
            <w:tcW w:w="899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widowControl/>
              <w:spacing w:line="560" w:lineRule="exact"/>
              <w:jc w:val="center"/>
              <w:rPr>
                <w:rFonts w:ascii="方正仿宋_GBK" w:eastAsia="方正仿宋_GBK" w:hint="eastAsia"/>
                <w:sz w:val="24"/>
                <w:szCs w:val="24"/>
                <w:highlight w:val="yellow"/>
              </w:rPr>
            </w:pPr>
            <w:r>
              <w:rPr>
                <w:rFonts w:ascii="方正仿宋_GBK" w:eastAsia="方正仿宋_GBK" w:cs="宋体" w:hint="eastAsia"/>
                <w:kern w:val="0"/>
                <w:sz w:val="24"/>
                <w:szCs w:val="24"/>
                <w:lang w:bidi="ar-SA"/>
              </w:rPr>
              <w:t>第二十条第（一）项</w:t>
            </w:r>
          </w:p>
        </w:tc>
      </w:tr>
      <w:tr>
        <w:trPr>
          <w:trHeight w:val="680"/>
        </w:trPr>
        <w:tc>
          <w:tcPr>
            <w:tcW w:w="27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widowControl/>
              <w:spacing w:line="560" w:lineRule="exact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kern w:val="0"/>
                <w:sz w:val="24"/>
                <w:szCs w:val="24"/>
                <w:lang w:bidi="ar-SA"/>
              </w:rPr>
              <w:t>信息内容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widowControl/>
              <w:spacing w:line="560" w:lineRule="exact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kern w:val="0"/>
                <w:sz w:val="24"/>
                <w:szCs w:val="24"/>
                <w:lang w:bidi="ar-SA"/>
              </w:rPr>
              <w:t>本年</w:t>
            </w:r>
            <w:r>
              <w:rPr>
                <w:rFonts w:ascii="方正仿宋_GBK" w:eastAsia="方正仿宋_GBK" w:hint="eastAsia"/>
                <w:kern w:val="0"/>
                <w:sz w:val="24"/>
                <w:szCs w:val="24"/>
              </w:rPr>
              <w:t>制发件数</w:t>
            </w:r>
          </w:p>
        </w:tc>
        <w:tc>
          <w:tcPr>
            <w:tcW w:w="1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widowControl/>
              <w:spacing w:line="560" w:lineRule="exact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kern w:val="0"/>
                <w:sz w:val="24"/>
                <w:szCs w:val="24"/>
                <w:lang w:bidi="ar-SA"/>
              </w:rPr>
              <w:t>本年废止件</w:t>
            </w:r>
            <w:r>
              <w:rPr>
                <w:rFonts w:ascii="方正仿宋_GBK" w:eastAsia="方正仿宋_GBK" w:hint="eastAsia"/>
                <w:kern w:val="0"/>
                <w:sz w:val="24"/>
                <w:szCs w:val="24"/>
              </w:rPr>
              <w:t>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>
            <w:pPr>
              <w:pStyle w:val="40"/>
              <w:widowControl/>
              <w:spacing w:line="560" w:lineRule="exact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kern w:val="0"/>
                <w:sz w:val="24"/>
                <w:szCs w:val="24"/>
                <w:lang w:bidi="ar-SA"/>
              </w:rPr>
              <w:t>现行有效件数</w:t>
            </w:r>
          </w:p>
        </w:tc>
      </w:tr>
      <w:tr>
        <w:trPr>
          <w:trHeight w:val="510"/>
        </w:trPr>
        <w:tc>
          <w:tcPr>
            <w:tcW w:w="27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widowControl/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kern w:val="0"/>
                <w:sz w:val="24"/>
                <w:szCs w:val="24"/>
                <w:lang w:bidi="ar-SA"/>
              </w:rPr>
              <w:t>规章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10"/>
        </w:trPr>
        <w:tc>
          <w:tcPr>
            <w:tcW w:w="27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widowControl/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kern w:val="0"/>
                <w:sz w:val="24"/>
                <w:szCs w:val="24"/>
                <w:lang w:bidi="ar-SA"/>
              </w:rPr>
              <w:t>行政规范性文件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435"/>
        </w:trPr>
        <w:tc>
          <w:tcPr>
            <w:tcW w:w="899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widowControl/>
              <w:spacing w:line="560" w:lineRule="exact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kern w:val="0"/>
                <w:sz w:val="24"/>
                <w:szCs w:val="24"/>
                <w:lang w:bidi="ar-SA"/>
              </w:rPr>
              <w:t>第二十条第（五）项</w:t>
            </w:r>
          </w:p>
        </w:tc>
      </w:tr>
      <w:tr>
        <w:trPr>
          <w:trHeight w:val="680"/>
        </w:trPr>
        <w:tc>
          <w:tcPr>
            <w:tcW w:w="27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65"/>
              <w:widowControl/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kern w:val="0"/>
                <w:sz w:val="24"/>
                <w:szCs w:val="24"/>
                <w:lang w:bidi="ar-SA"/>
              </w:rPr>
              <w:t>本年处理决定数量</w:t>
            </w:r>
          </w:p>
        </w:tc>
      </w:tr>
      <w:tr>
        <w:trPr>
          <w:trHeight w:val="510"/>
        </w:trPr>
        <w:tc>
          <w:tcPr>
            <w:tcW w:w="27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行政许可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76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406"/>
        </w:trPr>
        <w:tc>
          <w:tcPr>
            <w:tcW w:w="899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widowControl/>
              <w:spacing w:line="560" w:lineRule="exact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kern w:val="0"/>
                <w:sz w:val="24"/>
                <w:szCs w:val="24"/>
                <w:lang w:bidi="ar-SA"/>
              </w:rPr>
              <w:t>第二十条第（六）项</w:t>
            </w:r>
          </w:p>
        </w:tc>
      </w:tr>
      <w:tr>
        <w:trPr>
          <w:trHeight w:val="680"/>
        </w:trPr>
        <w:tc>
          <w:tcPr>
            <w:tcW w:w="27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68"/>
              <w:widowControl/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kern w:val="0"/>
                <w:sz w:val="24"/>
                <w:szCs w:val="24"/>
                <w:lang w:bidi="ar-SA"/>
              </w:rPr>
              <w:t>本年处理决定数量</w:t>
            </w:r>
          </w:p>
        </w:tc>
      </w:tr>
      <w:tr>
        <w:trPr>
          <w:trHeight w:val="510"/>
        </w:trPr>
        <w:tc>
          <w:tcPr>
            <w:tcW w:w="27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行政处罚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123</w:t>
            </w:r>
          </w:p>
        </w:tc>
      </w:tr>
      <w:tr>
        <w:trPr>
          <w:trHeight w:val="510"/>
        </w:trPr>
        <w:tc>
          <w:tcPr>
            <w:tcW w:w="27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行政强制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77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72</w:t>
            </w:r>
          </w:p>
        </w:tc>
      </w:tr>
      <w:tr>
        <w:trPr>
          <w:trHeight w:val="474"/>
        </w:trPr>
        <w:tc>
          <w:tcPr>
            <w:tcW w:w="899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widowControl/>
              <w:spacing w:line="560" w:lineRule="exact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kern w:val="0"/>
                <w:sz w:val="24"/>
                <w:szCs w:val="24"/>
                <w:lang w:bidi="ar-SA"/>
              </w:rPr>
              <w:t>第二十条第（八）项</w:t>
            </w:r>
          </w:p>
        </w:tc>
      </w:tr>
      <w:tr>
        <w:trPr>
          <w:trHeight w:val="680"/>
        </w:trPr>
        <w:tc>
          <w:tcPr>
            <w:tcW w:w="27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72"/>
              <w:widowControl/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kern w:val="0"/>
                <w:sz w:val="24"/>
                <w:szCs w:val="24"/>
                <w:lang w:bidi="ar-SA"/>
              </w:rPr>
              <w:t>本年收费金额（单位：万元）</w:t>
            </w:r>
          </w:p>
        </w:tc>
      </w:tr>
      <w:tr>
        <w:trPr>
          <w:trHeight w:val="510"/>
        </w:trPr>
        <w:tc>
          <w:tcPr>
            <w:tcW w:w="27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widowControl/>
              <w:adjustRightInd w:val="0"/>
              <w:snapToGrid w:val="0"/>
              <w:spacing w:line="5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行政事业性收费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</w:tbl>
    <w:p>
      <w:pPr>
        <w:pStyle w:val="46"/>
        <w:adjustRightInd w:val="0"/>
        <w:snapToGrid w:val="0"/>
        <w:spacing w:beforeLines="50" w:before="218" w:afterLines="50" w:after="218"/>
        <w:ind w:firstLineChars="200" w:firstLine="624"/>
        <w:rPr>
          <w:rFonts w:ascii="方正黑体_GBK" w:eastAsia="方正黑体_GBK" w:cs="楷体_GB2312" w:hint="eastAsia"/>
          <w:bCs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Cs w:val="32"/>
          <w:shd w:val="clear" w:color="auto" w:fill="FFFFFF"/>
        </w:rPr>
        <w:t>三、收到和处理政府信息公开申请情况</w:t>
      </w:r>
    </w:p>
    <w:tbl>
      <w:tblPr>
        <w:jc w:val="center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6"/>
        <w:gridCol w:w="936"/>
        <w:gridCol w:w="2670"/>
        <w:gridCol w:w="635"/>
        <w:gridCol w:w="675"/>
        <w:gridCol w:w="750"/>
        <w:gridCol w:w="765"/>
        <w:gridCol w:w="765"/>
        <w:gridCol w:w="497"/>
        <w:gridCol w:w="682"/>
      </w:tblGrid>
      <w:tr>
        <w:trPr>
          <w:tblHeader/>
        </w:trPr>
        <w:tc>
          <w:tcPr>
            <w:tcW w:w="430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widowControl/>
              <w:spacing w:line="560" w:lineRule="exact"/>
              <w:jc w:val="center"/>
              <w:rPr>
                <w:rFonts w:ascii="方正仿宋_GBK" w:eastAsia="方正仿宋_GBK" w:hint="eastAsia"/>
              </w:rPr>
            </w:pPr>
            <w:r>
              <w:rPr>
                <w:rFonts w:ascii="方正仿宋_GBK" w:eastAsia="方正仿宋_GBK" w:cs="宋体" w:hint="eastAsia"/>
                <w:kern w:val="0"/>
                <w:sz w:val="20"/>
                <w:szCs w:val="20"/>
                <w:lang w:bidi="ar-SA"/>
              </w:rPr>
              <w:t>（本列数据的勾稽关系为：第一项加第二项之和，等于第三项加第四项之和）</w:t>
            </w:r>
          </w:p>
        </w:tc>
        <w:tc>
          <w:tcPr>
            <w:tcW w:w="4769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widowControl/>
              <w:spacing w:line="560" w:lineRule="exact"/>
              <w:jc w:val="center"/>
              <w:rPr>
                <w:rFonts w:ascii="方正仿宋_GBK" w:eastAsia="方正仿宋_GBK" w:hint="eastAsia"/>
              </w:rPr>
            </w:pPr>
            <w:r>
              <w:rPr>
                <w:rFonts w:ascii="方正仿宋_GBK" w:eastAsia="方正仿宋_GBK" w:cs="宋体" w:hint="eastAsia"/>
                <w:kern w:val="0"/>
                <w:sz w:val="20"/>
                <w:szCs w:val="20"/>
                <w:lang w:bidi="ar-SA"/>
              </w:rPr>
              <w:t>申请人情况</w:t>
            </w:r>
          </w:p>
        </w:tc>
      </w:tr>
      <w:tr>
        <w:trPr>
          <w:tblHeader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widowControl/>
              <w:spacing w:line="560" w:lineRule="exact"/>
              <w:jc w:val="center"/>
              <w:rPr>
                <w:rFonts w:ascii="方正仿宋_GBK" w:eastAsia="方正仿宋_GBK" w:hint="eastAsia"/>
              </w:rPr>
            </w:pPr>
            <w:r>
              <w:rPr>
                <w:rFonts w:ascii="方正仿宋_GBK" w:eastAsia="方正仿宋_GBK" w:cs="宋体" w:hint="eastAsia"/>
                <w:kern w:val="0"/>
                <w:sz w:val="20"/>
                <w:szCs w:val="20"/>
                <w:lang w:bidi="ar-SA"/>
              </w:rPr>
              <w:t>自然人</w:t>
            </w:r>
          </w:p>
        </w:tc>
        <w:tc>
          <w:tcPr>
            <w:tcW w:w="345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widowControl/>
              <w:spacing w:line="560" w:lineRule="exact"/>
              <w:jc w:val="center"/>
              <w:rPr>
                <w:rFonts w:ascii="方正仿宋_GBK" w:eastAsia="方正仿宋_GBK" w:hint="eastAsia"/>
              </w:rPr>
            </w:pPr>
            <w:r>
              <w:rPr>
                <w:rFonts w:ascii="方正仿宋_GBK" w:eastAsia="方正仿宋_GBK" w:cs="宋体" w:hint="eastAsia"/>
                <w:kern w:val="0"/>
                <w:sz w:val="20"/>
                <w:szCs w:val="20"/>
                <w:lang w:bidi="ar-SA"/>
              </w:rPr>
              <w:t>法人或其他组织</w:t>
            </w:r>
          </w:p>
        </w:tc>
        <w:tc>
          <w:tcPr>
            <w:tcW w:w="68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widowControl/>
              <w:spacing w:line="560" w:lineRule="exact"/>
              <w:jc w:val="center"/>
              <w:rPr>
                <w:rFonts w:ascii="方正仿宋_GBK" w:eastAsia="方正仿宋_GBK" w:hint="eastAsia"/>
              </w:rPr>
            </w:pPr>
            <w:r>
              <w:rPr>
                <w:rFonts w:ascii="方正仿宋_GBK" w:eastAsia="方正仿宋_GBK" w:cs="宋体" w:hint="eastAsia"/>
                <w:kern w:val="0"/>
                <w:sz w:val="20"/>
                <w:szCs w:val="20"/>
                <w:lang w:bidi="ar-SA"/>
              </w:rPr>
              <w:t>总计</w:t>
            </w:r>
          </w:p>
        </w:tc>
      </w:tr>
      <w:tr>
        <w:trPr>
          <w:trHeight w:val="1292"/>
          <w:tblHeader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widowControl/>
              <w:spacing w:line="560" w:lineRule="exact"/>
              <w:jc w:val="center"/>
              <w:rPr>
                <w:rFonts w:ascii="方正仿宋_GBK" w:eastAsia="方正仿宋_GBK" w:hint="eastAsia"/>
              </w:rPr>
            </w:pPr>
            <w:r>
              <w:rPr>
                <w:rFonts w:ascii="方正仿宋_GBK" w:eastAsia="方正仿宋_GBK" w:cs="宋体" w:hint="eastAsia"/>
                <w:kern w:val="0"/>
                <w:sz w:val="20"/>
                <w:szCs w:val="20"/>
                <w:lang w:bidi="ar-SA"/>
              </w:rPr>
              <w:t>商业企业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widowControl/>
              <w:spacing w:line="560" w:lineRule="exact"/>
              <w:jc w:val="center"/>
              <w:rPr>
                <w:rFonts w:ascii="方正仿宋_GBK" w:eastAsia="方正仿宋_GBK" w:hint="eastAsia"/>
              </w:rPr>
            </w:pPr>
            <w:r>
              <w:rPr>
                <w:rFonts w:ascii="方正仿宋_GBK" w:eastAsia="方正仿宋_GBK" w:cs="宋体" w:hint="eastAsia"/>
                <w:kern w:val="0"/>
                <w:sz w:val="20"/>
                <w:szCs w:val="20"/>
                <w:lang w:bidi="ar-SA"/>
              </w:rPr>
              <w:t>科研机构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widowControl/>
              <w:spacing w:line="560" w:lineRule="exact"/>
              <w:jc w:val="center"/>
              <w:rPr>
                <w:rFonts w:ascii="方正仿宋_GBK" w:eastAsia="方正仿宋_GBK" w:hint="eastAsia"/>
              </w:rPr>
            </w:pPr>
            <w:r>
              <w:rPr>
                <w:rFonts w:ascii="方正仿宋_GBK" w:eastAsia="方正仿宋_GBK" w:cs="宋体" w:hint="eastAsia"/>
                <w:kern w:val="0"/>
                <w:sz w:val="20"/>
                <w:szCs w:val="20"/>
                <w:lang w:bidi="ar-SA"/>
              </w:rPr>
              <w:t>社会公益组织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widowControl/>
              <w:spacing w:line="560" w:lineRule="exact"/>
              <w:jc w:val="center"/>
              <w:rPr>
                <w:rFonts w:ascii="方正仿宋_GBK" w:eastAsia="方正仿宋_GBK" w:hint="eastAsia"/>
              </w:rPr>
            </w:pPr>
            <w:r>
              <w:rPr>
                <w:rFonts w:ascii="方正仿宋_GBK" w:eastAsia="方正仿宋_GBK" w:cs="宋体" w:hint="eastAsia"/>
                <w:kern w:val="0"/>
                <w:sz w:val="20"/>
                <w:szCs w:val="20"/>
                <w:lang w:bidi="ar-SA"/>
              </w:rPr>
              <w:t>法律服务机构</w:t>
            </w:r>
          </w:p>
        </w:tc>
        <w:tc>
          <w:tcPr>
            <w:tcW w:w="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widowControl/>
              <w:spacing w:line="560" w:lineRule="exact"/>
              <w:jc w:val="center"/>
              <w:rPr>
                <w:rFonts w:ascii="方正仿宋_GBK" w:eastAsia="方正仿宋_GBK" w:hint="eastAsia"/>
              </w:rPr>
            </w:pPr>
            <w:r>
              <w:rPr>
                <w:rFonts w:ascii="方正仿宋_GBK" w:eastAsia="方正仿宋_GBK" w:cs="宋体" w:hint="eastAsia"/>
                <w:kern w:val="0"/>
                <w:sz w:val="20"/>
                <w:szCs w:val="20"/>
                <w:lang w:bidi="ar-SA"/>
              </w:rPr>
              <w:t>其他</w:t>
            </w:r>
          </w:p>
        </w:tc>
        <w:tc>
          <w:tcPr>
            <w:tcW w:w="68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/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</w:tcPr>
          <w:p>
            <w:pPr>
              <w:pStyle w:val="40"/>
              <w:widowControl/>
              <w:spacing w:line="560" w:lineRule="exact"/>
              <w:jc w:val="left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kern w:val="0"/>
                <w:sz w:val="24"/>
                <w:szCs w:val="24"/>
                <w:lang w:bidi="ar-SA"/>
              </w:rPr>
              <w:t>一、本年新收政府信息公开申请数量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11</w:t>
            </w:r>
          </w:p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</w:tcPr>
          <w:p>
            <w:pPr>
              <w:pStyle w:val="40"/>
              <w:widowControl/>
              <w:spacing w:line="560" w:lineRule="exact"/>
              <w:jc w:val="left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kern w:val="0"/>
                <w:sz w:val="24"/>
                <w:szCs w:val="24"/>
                <w:lang w:bidi="ar-SA"/>
              </w:rPr>
              <w:t>二、上年结转政府信息公开申请数量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widowControl/>
              <w:spacing w:line="560" w:lineRule="exact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kern w:val="0"/>
                <w:sz w:val="24"/>
                <w:szCs w:val="24"/>
                <w:lang w:bidi="ar-SA"/>
              </w:rPr>
              <w:t>三、本年度办理结果</w:t>
            </w:r>
          </w:p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widowControl/>
              <w:spacing w:line="560" w:lineRule="exact"/>
              <w:jc w:val="left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cs="楷体" w:hint="eastAsia"/>
                <w:kern w:val="0"/>
                <w:sz w:val="24"/>
                <w:szCs w:val="24"/>
                <w:lang w:bidi="ar-SA"/>
              </w:rPr>
              <w:t>（一）予以公开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</w:p>
        </w:tc>
      </w:tr>
      <w:tr>
        <w:trPr>
          <w:trHeight w:val="811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widowControl/>
              <w:spacing w:line="560" w:lineRule="exact"/>
              <w:jc w:val="left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cs="楷体" w:hint="eastAsia"/>
                <w:kern w:val="0"/>
                <w:sz w:val="24"/>
                <w:szCs w:val="24"/>
                <w:lang w:bidi="ar-SA"/>
              </w:rPr>
              <w:t>（二）部分公开（区分处理的，只计这一情形，不计其他情形）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widowControl/>
              <w:spacing w:line="560" w:lineRule="exact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cs="楷体" w:hint="eastAsia"/>
                <w:kern w:val="0"/>
                <w:sz w:val="24"/>
                <w:szCs w:val="24"/>
                <w:lang w:bidi="ar-SA"/>
              </w:rPr>
              <w:t>（三）不予公开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widowControl/>
              <w:spacing w:line="560" w:lineRule="exact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cs="楷体" w:hint="eastAsia"/>
                <w:kern w:val="0"/>
                <w:sz w:val="24"/>
                <w:szCs w:val="24"/>
                <w:lang w:bidi="ar-SA"/>
              </w:rPr>
              <w:t>1.属于国家秘密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widowControl/>
              <w:spacing w:line="560" w:lineRule="exact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cs="楷体" w:hint="eastAsia"/>
                <w:kern w:val="0"/>
                <w:sz w:val="24"/>
                <w:szCs w:val="24"/>
                <w:lang w:bidi="ar-SA"/>
              </w:rPr>
              <w:t>2.其他法律行政法规禁止公开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widowControl/>
              <w:spacing w:line="560" w:lineRule="exact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cs="楷体" w:hint="eastAsia"/>
                <w:kern w:val="0"/>
                <w:sz w:val="24"/>
                <w:szCs w:val="24"/>
                <w:lang w:bidi="ar-SA"/>
              </w:rPr>
              <w:t>3.危及“三安全一稳定”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widowControl/>
              <w:spacing w:line="560" w:lineRule="exact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cs="楷体" w:hint="eastAsia"/>
                <w:kern w:val="0"/>
                <w:sz w:val="24"/>
                <w:szCs w:val="24"/>
                <w:lang w:bidi="ar-SA"/>
              </w:rPr>
              <w:t>4.保护第三方合法权益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1141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widowControl/>
              <w:spacing w:line="560" w:lineRule="exact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cs="楷体" w:hint="eastAsia"/>
                <w:kern w:val="0"/>
                <w:sz w:val="24"/>
                <w:szCs w:val="24"/>
                <w:lang w:bidi="ar-SA"/>
              </w:rPr>
              <w:t>5.属于三类内部事务信息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widowControl/>
              <w:spacing w:line="560" w:lineRule="exact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cs="楷体" w:hint="eastAsia"/>
                <w:kern w:val="0"/>
                <w:sz w:val="24"/>
                <w:szCs w:val="24"/>
                <w:lang w:bidi="ar-SA"/>
              </w:rPr>
              <w:t>6.属于四类过程性信息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widowControl/>
              <w:spacing w:line="560" w:lineRule="exact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cs="楷体" w:hint="eastAsia"/>
                <w:kern w:val="0"/>
                <w:sz w:val="24"/>
                <w:szCs w:val="24"/>
                <w:lang w:bidi="ar-SA"/>
              </w:rPr>
              <w:t>7.属于行政执法案卷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widowControl/>
              <w:spacing w:line="560" w:lineRule="exact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cs="楷体" w:hint="eastAsia"/>
                <w:kern w:val="0"/>
                <w:sz w:val="24"/>
                <w:szCs w:val="24"/>
                <w:lang w:bidi="ar-SA"/>
              </w:rPr>
              <w:t>8.属于行政查询事项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1285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widowControl/>
              <w:spacing w:line="560" w:lineRule="exact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cs="楷体" w:hint="eastAsia"/>
                <w:kern w:val="0"/>
                <w:sz w:val="24"/>
                <w:szCs w:val="24"/>
                <w:lang w:bidi="ar-SA"/>
              </w:rPr>
              <w:t>（四）无法提供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widowControl/>
              <w:spacing w:line="560" w:lineRule="exact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cs="楷体" w:hint="eastAsia"/>
                <w:kern w:val="0"/>
                <w:sz w:val="24"/>
                <w:szCs w:val="24"/>
                <w:lang w:bidi="ar-SA"/>
              </w:rPr>
              <w:t>1.本机关不掌握相关政府信息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1265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widowControl/>
              <w:spacing w:line="560" w:lineRule="exact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cs="楷体" w:hint="eastAsia"/>
                <w:kern w:val="0"/>
                <w:sz w:val="24"/>
                <w:szCs w:val="24"/>
                <w:lang w:bidi="ar-SA"/>
              </w:rPr>
              <w:t>2.没有现成信息需要另行制作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widowControl/>
              <w:spacing w:line="560" w:lineRule="exact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cs="楷体" w:hint="eastAsia"/>
                <w:kern w:val="0"/>
                <w:sz w:val="24"/>
                <w:szCs w:val="24"/>
                <w:lang w:bidi="ar-SA"/>
              </w:rPr>
              <w:t>3.补正后申请内容仍不明确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widowControl/>
              <w:spacing w:line="560" w:lineRule="exact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cs="楷体" w:hint="eastAsia"/>
                <w:kern w:val="0"/>
                <w:sz w:val="24"/>
                <w:szCs w:val="24"/>
                <w:lang w:bidi="ar-SA"/>
              </w:rPr>
              <w:t>（五）不予处理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widowControl/>
              <w:spacing w:line="560" w:lineRule="exact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cs="楷体" w:hint="eastAsia"/>
                <w:kern w:val="0"/>
                <w:sz w:val="24"/>
                <w:szCs w:val="24"/>
                <w:lang w:bidi="ar-SA"/>
              </w:rPr>
              <w:t>1.信访举报投诉类申请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widowControl/>
              <w:spacing w:line="560" w:lineRule="exact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cs="楷体" w:hint="eastAsia"/>
                <w:kern w:val="0"/>
                <w:sz w:val="24"/>
                <w:szCs w:val="24"/>
                <w:lang w:bidi="ar-SA"/>
              </w:rPr>
              <w:t>2.重复申请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widowControl/>
              <w:spacing w:line="560" w:lineRule="exact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cs="楷体" w:hint="eastAsia"/>
                <w:kern w:val="0"/>
                <w:sz w:val="24"/>
                <w:szCs w:val="24"/>
                <w:lang w:bidi="ar-SA"/>
              </w:rPr>
              <w:t>3.要求提供公开出版物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81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widowControl/>
              <w:spacing w:line="560" w:lineRule="exact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cs="楷体" w:hint="eastAsia"/>
                <w:kern w:val="0"/>
                <w:sz w:val="24"/>
                <w:szCs w:val="24"/>
                <w:lang w:bidi="ar-SA"/>
              </w:rPr>
              <w:t>4.无正当理由大量反复申请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12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widowControl/>
              <w:spacing w:line="560" w:lineRule="exact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cs="楷体" w:hint="eastAsia"/>
                <w:kern w:val="0"/>
                <w:sz w:val="24"/>
                <w:szCs w:val="24"/>
                <w:lang w:bidi="ar-SA"/>
              </w:rPr>
              <w:t>5.要求行政机关确认或重新出具已获取信息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widowControl/>
              <w:spacing w:line="560" w:lineRule="exact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cs="楷体" w:hint="eastAsia"/>
                <w:kern w:val="0"/>
                <w:sz w:val="24"/>
                <w:szCs w:val="24"/>
                <w:lang w:bidi="ar-SA"/>
              </w:rPr>
              <w:t>（六）其他处理</w:t>
            </w:r>
          </w:p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</w:tcPr>
          <w:p>
            <w:pPr>
              <w:pStyle w:val="40"/>
              <w:widowControl/>
              <w:spacing w:line="560" w:lineRule="exact"/>
              <w:rPr>
                <w:rFonts w:ascii="方正仿宋_GBK" w:eastAsia="方正仿宋_GBK" w:cs="楷体" w:hint="eastAsia"/>
                <w:kern w:val="0"/>
                <w:sz w:val="24"/>
                <w:szCs w:val="24"/>
                <w:lang w:bidi="ar-SA"/>
              </w:rPr>
            </w:pPr>
            <w:r>
              <w:rPr>
                <w:rFonts w:ascii="方正仿宋_GBK" w:eastAsia="方正仿宋_GBK" w:cs="楷体" w:hint="eastAsia"/>
                <w:kern w:val="0"/>
                <w:sz w:val="24"/>
                <w:szCs w:val="24"/>
                <w:lang w:bidi="ar-SA"/>
              </w:rPr>
              <w:t>1.申请人无正当理由逾期不补正、行政机关不再处理其政府信息公开申请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40"/>
              <w:widowControl/>
              <w:spacing w:line="560" w:lineRule="exact"/>
              <w:rPr>
                <w:rFonts w:ascii="方正仿宋_GBK" w:eastAsia="方正仿宋_GBK" w:cs="楷体" w:hint="eastAsia"/>
                <w:kern w:val="0"/>
                <w:sz w:val="24"/>
                <w:szCs w:val="24"/>
                <w:lang w:bidi="ar-SA"/>
              </w:rPr>
            </w:pPr>
            <w:r>
              <w:rPr>
                <w:rFonts w:ascii="方正仿宋_GBK" w:eastAsia="方正仿宋_GBK" w:cs="楷体" w:hint="eastAsia"/>
                <w:kern w:val="0"/>
                <w:sz w:val="24"/>
                <w:szCs w:val="24"/>
                <w:lang w:bidi="ar-SA"/>
              </w:rPr>
              <w:t>2.申请人逾期未按收费通知要求缴纳费用、行政机关不再处理其政府信息公开申请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40"/>
              <w:widowControl/>
              <w:spacing w:line="560" w:lineRule="exact"/>
              <w:rPr>
                <w:rFonts w:ascii="方正仿宋_GBK" w:eastAsia="方正仿宋_GBK" w:cs="楷体" w:hint="eastAsia"/>
                <w:kern w:val="0"/>
                <w:sz w:val="24"/>
                <w:szCs w:val="24"/>
                <w:lang w:bidi="ar-SA"/>
              </w:rPr>
            </w:pPr>
            <w:r>
              <w:rPr>
                <w:rFonts w:ascii="方正仿宋_GBK" w:eastAsia="方正仿宋_GBK" w:cs="楷体" w:hint="eastAsia"/>
                <w:kern w:val="0"/>
                <w:sz w:val="24"/>
                <w:szCs w:val="24"/>
                <w:lang w:bidi="ar-SA"/>
              </w:rPr>
              <w:t>3.咨询事项，指引咨询渠道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40"/>
              <w:widowControl/>
              <w:spacing w:line="560" w:lineRule="exact"/>
              <w:rPr>
                <w:rFonts w:ascii="方正仿宋_GBK" w:eastAsia="方正仿宋_GBK" w:cs="楷体" w:hint="eastAsia"/>
                <w:kern w:val="0"/>
                <w:sz w:val="24"/>
                <w:szCs w:val="24"/>
                <w:lang w:bidi="ar-SA"/>
              </w:rPr>
            </w:pPr>
            <w:r>
              <w:rPr>
                <w:rFonts w:ascii="方正仿宋_GBK" w:eastAsia="方正仿宋_GBK" w:cs="楷体" w:hint="eastAsia"/>
                <w:kern w:val="0"/>
                <w:sz w:val="24"/>
                <w:szCs w:val="24"/>
                <w:lang w:bidi="ar-SA"/>
              </w:rPr>
              <w:t>4.申请人撤销申请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widowControl/>
              <w:spacing w:line="560" w:lineRule="exact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cs="楷体" w:hint="eastAsia"/>
                <w:kern w:val="0"/>
                <w:sz w:val="24"/>
                <w:szCs w:val="24"/>
                <w:lang w:bidi="ar-SA"/>
              </w:rPr>
              <w:t>（七）总计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</w:p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widowControl/>
              <w:spacing w:line="560" w:lineRule="exact"/>
              <w:jc w:val="left"/>
              <w:rPr>
                <w:rFonts w:ascii="方正仿宋_GBK" w:eastAsia="方正仿宋_GBK" w:hint="eastAsia"/>
              </w:rPr>
            </w:pPr>
            <w:r>
              <w:rPr>
                <w:rFonts w:ascii="方正仿宋_GBK" w:eastAsia="方正仿宋_GBK" w:cs="宋体" w:hint="eastAsia"/>
                <w:kern w:val="0"/>
                <w:sz w:val="24"/>
                <w:szCs w:val="24"/>
                <w:lang w:bidi="ar-SA"/>
              </w:rPr>
              <w:t>四、结转下年度继续办理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10</w:t>
            </w:r>
          </w:p>
        </w:tc>
      </w:tr>
    </w:tbl>
    <w:p>
      <w:pPr>
        <w:pStyle w:val="46"/>
        <w:adjustRightInd w:val="0"/>
        <w:snapToGrid w:val="0"/>
        <w:spacing w:beforeLines="50" w:before="218" w:afterLines="50" w:after="218"/>
        <w:ind w:firstLineChars="200" w:firstLine="624"/>
        <w:rPr>
          <w:rFonts w:ascii="方正黑体_GBK" w:eastAsia="方正黑体_GBK" w:cs="楷体_GB2312" w:hint="eastAsia"/>
          <w:bCs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Cs w:val="32"/>
          <w:shd w:val="clear" w:color="auto" w:fill="FFFFFF"/>
          <w:lang w:bidi="ar-SA"/>
        </w:rPr>
        <w:t>四、政府信息公开行政复议、行政诉讼情况</w:t>
      </w:r>
    </w:p>
    <w:tbl>
      <w:tblPr>
        <w:jc w:val="center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widowControl/>
              <w:spacing w:line="560" w:lineRule="exact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kern w:val="0"/>
                <w:sz w:val="24"/>
                <w:szCs w:val="24"/>
                <w:lang w:bidi="ar-SA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widowControl/>
              <w:spacing w:line="560" w:lineRule="exact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kern w:val="0"/>
                <w:sz w:val="24"/>
                <w:szCs w:val="24"/>
                <w:lang w:bidi="ar-SA"/>
              </w:rPr>
              <w:t>行政诉讼</w:t>
            </w:r>
          </w:p>
        </w:tc>
      </w:tr>
      <w:tr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widowControl/>
              <w:spacing w:line="560" w:lineRule="exact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kern w:val="0"/>
                <w:sz w:val="24"/>
                <w:szCs w:val="24"/>
                <w:lang w:bidi="ar-SA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widowControl/>
              <w:spacing w:line="560" w:lineRule="exact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kern w:val="0"/>
                <w:sz w:val="24"/>
                <w:szCs w:val="24"/>
                <w:lang w:bidi="ar-SA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widowControl/>
              <w:spacing w:line="560" w:lineRule="exact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kern w:val="0"/>
                <w:sz w:val="24"/>
                <w:szCs w:val="24"/>
                <w:lang w:bidi="ar-SA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widowControl/>
              <w:spacing w:line="560" w:lineRule="exact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kern w:val="0"/>
                <w:sz w:val="24"/>
                <w:szCs w:val="24"/>
                <w:lang w:bidi="ar-SA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widowControl/>
              <w:spacing w:line="560" w:lineRule="exact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kern w:val="0"/>
                <w:sz w:val="24"/>
                <w:szCs w:val="24"/>
                <w:lang w:bidi="ar-SA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widowControl/>
              <w:spacing w:line="560" w:lineRule="exact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kern w:val="0"/>
                <w:sz w:val="24"/>
                <w:szCs w:val="24"/>
                <w:lang w:bidi="ar-SA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widowControl/>
              <w:spacing w:line="560" w:lineRule="exact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kern w:val="0"/>
                <w:sz w:val="24"/>
                <w:szCs w:val="24"/>
                <w:lang w:bidi="ar-SA"/>
              </w:rPr>
              <w:t>复议后起诉</w:t>
            </w:r>
          </w:p>
        </w:tc>
      </w:tr>
      <w:tr>
        <w:trPr>
          <w:trHeight w:val="2275"/>
        </w:trPr>
        <w:tc>
          <w:tcPr>
            <w:tcW w:w="60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5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widowControl/>
              <w:spacing w:line="560" w:lineRule="exact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kern w:val="0"/>
                <w:sz w:val="24"/>
                <w:szCs w:val="24"/>
                <w:lang w:bidi="ar-SA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widowControl/>
              <w:spacing w:line="560" w:lineRule="exact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kern w:val="0"/>
                <w:sz w:val="24"/>
                <w:szCs w:val="24"/>
                <w:lang w:bidi="ar-SA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widowControl/>
              <w:spacing w:line="560" w:lineRule="exact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kern w:val="0"/>
                <w:sz w:val="24"/>
                <w:szCs w:val="24"/>
                <w:lang w:bidi="ar-SA"/>
              </w:rPr>
              <w:t>其他结果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widowControl/>
              <w:spacing w:line="560" w:lineRule="exact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kern w:val="0"/>
                <w:sz w:val="24"/>
                <w:szCs w:val="24"/>
                <w:lang w:bidi="ar-SA"/>
              </w:rPr>
              <w:t>尚未审结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widowControl/>
              <w:spacing w:line="560" w:lineRule="exact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kern w:val="0"/>
                <w:sz w:val="24"/>
                <w:szCs w:val="24"/>
                <w:lang w:bidi="ar-SA"/>
              </w:rPr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widowControl/>
              <w:spacing w:line="560" w:lineRule="exact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kern w:val="0"/>
                <w:sz w:val="24"/>
                <w:szCs w:val="24"/>
                <w:lang w:bidi="ar-SA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widowControl/>
              <w:spacing w:line="560" w:lineRule="exact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kern w:val="0"/>
                <w:sz w:val="24"/>
                <w:szCs w:val="24"/>
                <w:lang w:bidi="ar-SA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widowControl/>
              <w:spacing w:line="560" w:lineRule="exact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kern w:val="0"/>
                <w:sz w:val="24"/>
                <w:szCs w:val="24"/>
                <w:lang w:bidi="ar-SA"/>
              </w:rPr>
              <w:t>其他结果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widowControl/>
              <w:spacing w:line="560" w:lineRule="exact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kern w:val="0"/>
                <w:sz w:val="24"/>
                <w:szCs w:val="24"/>
                <w:lang w:bidi="ar-SA"/>
              </w:rPr>
              <w:t>尚未审结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widowControl/>
              <w:spacing w:line="560" w:lineRule="exact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kern w:val="0"/>
                <w:sz w:val="24"/>
                <w:szCs w:val="24"/>
                <w:lang w:bidi="ar-SA"/>
              </w:rPr>
              <w:t>总计</w:t>
            </w:r>
          </w:p>
        </w:tc>
      </w:tr>
      <w:tr>
        <w:trPr>
          <w:trHeight w:val="862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</w:tbl>
    <w:p>
      <w:pPr>
        <w:pStyle w:val="29"/>
        <w:widowControl/>
        <w:shd w:val="clear" w:color="auto" w:fill="FFFFFF"/>
        <w:spacing w:beforeLines="50" w:before="218"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  <w:lang w:bidi="ar-SA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  <w:lang w:bidi="ar-SA"/>
        </w:rPr>
        <w:t>五、存在的主要问题及改进情况</w:t>
      </w:r>
    </w:p>
    <w:p>
      <w:pPr>
        <w:pStyle w:val="107"/>
        <w:adjustRightInd w:val="0"/>
        <w:snapToGrid w:val="0"/>
        <w:ind w:firstLineChars="200" w:firstLine="624"/>
        <w:rPr>
          <w:kern w:val="0"/>
        </w:rPr>
      </w:pPr>
      <w:r>
        <w:rPr>
          <w:rFonts w:ascii="方正楷体_GBK" w:eastAsia="方正楷体_GBK" w:hint="eastAsia"/>
          <w:b/>
          <w:bCs/>
        </w:rPr>
        <w:t>（一）</w:t>
      </w:r>
      <w:r>
        <w:rPr>
          <w:rFonts w:eastAsia="方正楷体_GBK"/>
          <w:b/>
          <w:bCs/>
        </w:rPr>
        <w:t>202</w:t>
      </w:r>
      <w:r>
        <w:rPr>
          <w:rFonts w:eastAsia="方正楷体_GBK" w:hint="eastAsia"/>
          <w:b/>
          <w:bCs/>
        </w:rPr>
        <w:t>4</w:t>
      </w:r>
      <w:r>
        <w:rPr>
          <w:rFonts w:ascii="方正楷体_GBK" w:eastAsia="方正楷体_GBK" w:hint="eastAsia"/>
          <w:b/>
          <w:bCs/>
        </w:rPr>
        <w:t>年年报中所提问题整改情况。</w:t>
      </w:r>
      <w:r>
        <w:rPr>
          <w:rFonts w:hint="eastAsia"/>
          <w:kern w:val="0"/>
        </w:rPr>
        <w:t>2024年，我关政务公开工作存在的主要问题是：政府信息公开</w:t>
      </w:r>
      <w:r>
        <w:rPr>
          <w:kern w:val="0"/>
        </w:rPr>
        <w:t>的形式主要依赖传统方式</w:t>
      </w:r>
      <w:r>
        <w:rPr>
          <w:rFonts w:hint="eastAsia"/>
          <w:kern w:val="0"/>
        </w:rPr>
        <w:t>。</w:t>
      </w:r>
      <w:r>
        <w:rPr>
          <w:bCs/>
          <w:kern w:val="0"/>
          <w:szCs w:val="32"/>
        </w:rPr>
        <w:t>202</w:t>
      </w:r>
      <w:r>
        <w:rPr>
          <w:rFonts w:hint="eastAsia"/>
          <w:bCs/>
          <w:kern w:val="0"/>
          <w:szCs w:val="32"/>
        </w:rPr>
        <w:t>5</w:t>
      </w:r>
      <w:r>
        <w:rPr>
          <w:bCs/>
          <w:kern w:val="0"/>
          <w:szCs w:val="32"/>
        </w:rPr>
        <w:t>年</w:t>
      </w:r>
      <w:r>
        <w:rPr>
          <w:rFonts w:cs="宋体" w:hint="eastAsia"/>
          <w:bCs/>
          <w:kern w:val="0"/>
          <w:szCs w:val="32"/>
          <w:lang w:bidi="ar-SA"/>
        </w:rPr>
        <w:t>，</w:t>
      </w:r>
      <w:r>
        <w:rPr>
          <w:rFonts w:cs="宋体"/>
          <w:bCs/>
          <w:kern w:val="0"/>
          <w:szCs w:val="32"/>
          <w:lang w:bidi="ar-SA"/>
        </w:rPr>
        <w:t>我关</w:t>
      </w:r>
      <w:r>
        <w:rPr>
          <w:rFonts w:cs="宋体" w:hint="eastAsia"/>
          <w:bCs/>
          <w:kern w:val="0"/>
          <w:szCs w:val="32"/>
          <w:lang w:bidi="ar-SA"/>
        </w:rPr>
        <w:t>进一步优化线上线下公开渠道，积极拓展多元化、便捷化公开载体，注重强化公开形式的灵活性与互动性，持续提升公开服务的精准度与实效性，更好契合社会公众多样化信息获取需求。</w:t>
      </w:r>
    </w:p>
    <w:p>
      <w:pPr>
        <w:pStyle w:val="47"/>
        <w:adjustRightInd w:val="0"/>
        <w:snapToGrid w:val="0"/>
        <w:ind w:firstLineChars="200" w:firstLine="624"/>
        <w:rPr>
          <w:rFonts w:hint="eastAsia"/>
          <w:kern w:val="0"/>
        </w:rPr>
      </w:pPr>
      <w:r>
        <w:rPr>
          <w:rFonts w:ascii="方正楷体_GBK" w:eastAsia="方正楷体_GBK" w:hint="eastAsia"/>
          <w:b/>
          <w:bCs/>
        </w:rPr>
        <w:t>（二）目前存在问题。</w:t>
      </w:r>
      <w:r>
        <w:rPr>
          <w:rFonts w:hint="eastAsia"/>
          <w:kern w:val="0"/>
        </w:rPr>
        <w:t>政务公开岗位人员工作经验不足，业务能力还需不断提升。</w:t>
      </w:r>
    </w:p>
    <w:p>
      <w:pPr>
        <w:pStyle w:val="29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  <w:lang w:bidi="ar-SA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  <w:lang w:bidi="ar-SA"/>
        </w:rPr>
        <w:t>六、其他需要报告的事项</w:t>
      </w:r>
      <w:bookmarkEnd w:id="1"/>
    </w:p>
    <w:p>
      <w:pPr>
        <w:pStyle w:val="53"/>
        <w:adjustRightInd w:val="0"/>
        <w:snapToGrid w:val="0"/>
        <w:ind w:firstLineChars="200" w:firstLine="624"/>
      </w:pPr>
      <w:r>
        <w:t>金陵海关2025年无收取信息处理费情况</w:t>
      </w:r>
      <w:r>
        <w:rPr>
          <w:rFonts w:hint="eastAsia"/>
        </w:rPr>
        <w:t>。</w:t>
      </w:r>
    </w:p>
    <w:p>
      <w:pPr>
        <w:pStyle w:val="23"/>
        <w:tabs>
          <w:tab w:val="center" w:pos="4153"/>
          <w:tab w:val="right" w:pos="8306"/>
        </w:tabs>
        <w:spacing w:line="560" w:lineRule="exact"/>
      </w:pPr>
    </w:p>
    <w:p>
      <w:pPr>
        <w:pStyle w:val="23"/>
        <w:tabs>
          <w:tab w:val="center" w:pos="4153"/>
          <w:tab w:val="right" w:pos="8306"/>
        </w:tabs>
        <w:spacing w:line="560" w:lineRule="exact"/>
      </w:pPr>
    </w:p>
    <w:sectPr>
      <w:footerReference w:type="first" r:id="rId2"/>
      <w:pgSz w:w="11906" w:h="16838"/>
      <w:pgMar w:top="2098" w:right="1474" w:bottom="1985" w:left="1588" w:header="851" w:footer="992" w:gutter="0"/>
      <w:pgNumType w:fmt="numberInDash" w:start="1"/>
      <w:docGrid w:type="lines" w:linePitch="435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0000000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0000000000000000000"/>
    <w:charset w:val="86"/>
    <w:family w:val="script"/>
    <w:pitch w:val="variable"/>
    <w:sig w:usb0="00000001" w:usb1="080E0000" w:usb2="00000010" w:usb3="00000000" w:csb0="00040000" w:csb1="00000000"/>
  </w:font>
  <w:font w:name="方正黑体_GBK">
    <w:panose1 w:val="00000000000000000000"/>
    <w:charset w:val="86"/>
    <w:family w:val="script"/>
    <w:pitch w:val="variable"/>
    <w:sig w:usb0="00000001" w:usb1="080E0000" w:usb2="00000010" w:usb3="00000000" w:csb0="00040000" w:csb1="00000000"/>
  </w:font>
  <w:font w:name="楷体_GB2312">
    <w:altName w:val="楷体"/>
    <w:panose1 w:val="00000000000000000000"/>
    <w:charset w:val="00"/>
    <w:family w:val="auto"/>
    <w:pitch w:val="variable"/>
    <w:sig w:usb0="00000000" w:usb1="00000000" w:usb2="00000000" w:usb3="00000000" w:csb0="00040001" w:csb1="00000000"/>
  </w:font>
  <w:font w:name="方正楷体_GBK">
    <w:panose1 w:val="00000000000000000000"/>
    <w:charset w:val="86"/>
    <w:family w:val="script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0000000000000000000"/>
    <w:charset w:val="86"/>
    <w:family w:val="modern"/>
    <w:pitch w:val="variable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variable"/>
    <w:sig w:usb0="E0002AFF" w:usb1="C0007843" w:usb2="00000009" w:usb3="00000000" w:csb0="000001FF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23"/>
      <w:tabs>
        <w:tab w:val="center" w:pos="4153"/>
        <w:tab w:val="right" w:pos="8306"/>
      </w:tabs>
      <w:jc w:val="right"/>
    </w:pPr>
    <w:r>
      <w:fldChar w:fldCharType="begin"/>
    </w:r>
    <w:r>
      <w:instrText>Page</w:instrText>
    </w:r>
    <w:r>
      <w:fldChar w:fldCharType="separate"/>
    </w:r>
    <w:r>
      <w:t>- 1 -</w:t>
    </w:r>
    <w:r>
      <w:fldChar w:fldCharType="end"/>
    </w:r>
    <w:r>
      <w:fldChar w:fldCharType="begin"/>
    </w:r>
    <w:r>
      <w:instrText>NumPages</w:instrText>
    </w:r>
    <w:r>
      <w:fldChar w:fldCharType="separate"/>
    </w:r>
    <w:r>
      <w:t>2</w:t>
    </w:r>
    <w:r>
      <w:fldChar w:fldCharType="end"/>
    </w:r>
    <w:r>
      <w:fldChar w:fldCharType="begin"/>
    </w:r>
    <w:r>
      <w:instrText>Page</w:instrText>
    </w:r>
    <w:r>
      <w:fldChar w:fldCharType="separate"/>
    </w:r>
    <w:r>
      <w:t>- 1 -</w:t>
    </w:r>
    <w:r>
      <w:fldChar w:fldCharType="end"/>
    </w:r>
    <w:r>
      <w:fldChar w:fldCharType="begin"/>
    </w:r>
    <w:r>
      <w:instrText>Page</w:instrText>
    </w:r>
    <w:r>
      <w:fldChar w:fldCharType="separate"/>
    </w:r>
    <w:r>
      <w:t>- 1 -</w:t>
    </w:r>
    <w:r>
      <w:fldChar w:fldCharType="end"/>
    </w:r>
  </w:p>
  <w:p>
    <w:pPr>
      <w:pStyle w:val="23"/>
      <w:tabs>
        <w:tab w:val="center" w:pos="4153"/>
        <w:tab w:val="right" w:pos="8306"/>
      </w:tabs>
    </w:pP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30EDF669"/>
    <w:multiLevelType w:val="singleLevel"/>
    <w:tmpl w:val="30EDF669"/>
    <w:lvl w:ilvl="0">
      <w:start w:val="1"/>
      <w:numFmt w:val="decimal"/>
      <w:lvlRestart w:val="0"/>
      <w:lvlText w:val="%1."/>
      <w:lvlJc w:val="left"/>
      <w:pPr>
        <w:tabs>
          <w:tab w:val="num" w:pos="780"/>
        </w:tabs>
        <w:ind w:left="780" w:hanging="36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114"/>
  <w:doNotDisplayPageBoundaries/>
  <w:bordersDoNotSurroundHeader w:val="0"/>
  <w:bordersDoNotSurroundFooter w:val="0"/>
  <w:defaultTabStop w:val="420"/>
  <w:evenAndOddHeaders/>
  <w:drawingGridHorizontalSpacing w:val="160"/>
  <w:drawingGridVerticalSpacing w:val="435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doNotUseIndentAsNumberingTabStop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character" w:default="1" w:styleId="10">
    <w:name w:val="Default Paragraph Font"/>
  </w:style>
  <w:style w:type="paragraph" w:styleId="15">
    <w:name w:val="macro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eastAsia="宋体" w:cs="Times New Roman" w:hAnsi="Courier New"/>
      <w:sz w:val="24"/>
      <w:lang w:val="en-US" w:eastAsia="zh-CN" w:bidi="ar-SA"/>
    </w:rPr>
  </w:style>
  <w:style w:type="paragraph" w:styleId="16">
    <w:name w:val="List Number 2"/>
    <w:basedOn w:val="0"/>
    <w:pPr>
      <w:numPr>
        <w:ilvl w:val="0"/>
        <w:numId w:val="1"/>
      </w:numPr>
      <w:tabs>
        <w:tab w:val="clear" w:pos="780"/>
        <w:tab w:val="left" w:pos="780"/>
      </w:tabs>
    </w:pPr>
  </w:style>
  <w:style w:type="paragraph" w:styleId="17">
    <w:name w:val="index 8"/>
    <w:basedOn w:val="0"/>
    <w:next w:val="0"/>
    <w:pPr>
      <w:ind w:left="2940"/>
    </w:pPr>
  </w:style>
  <w:style w:type="paragraph" w:styleId="18">
    <w:name w:val="index 5"/>
    <w:basedOn w:val="0"/>
    <w:next w:val="0"/>
    <w:pPr>
      <w:ind w:left="1680"/>
    </w:pPr>
  </w:style>
  <w:style w:type="paragraph" w:styleId="19">
    <w:name w:val="toa heading"/>
    <w:basedOn w:val="0"/>
    <w:next w:val="0"/>
    <w:pPr>
      <w:spacing w:before="120"/>
    </w:pPr>
    <w:rPr>
      <w:rFonts w:ascii="Arial" w:hAnsi="Arial"/>
      <w:sz w:val="24"/>
    </w:rPr>
  </w:style>
  <w:style w:type="paragraph" w:styleId="20">
    <w:name w:val="index 6"/>
    <w:basedOn w:val="0"/>
    <w:next w:val="0"/>
    <w:pPr>
      <w:ind w:left="2100"/>
    </w:pPr>
  </w:style>
  <w:style w:type="paragraph" w:styleId="21">
    <w:name w:val="endnote text"/>
    <w:basedOn w:val="0"/>
    <w:pPr>
      <w:snapToGrid w:val="0"/>
      <w:jc w:val="left"/>
    </w:pPr>
  </w:style>
  <w:style w:type="paragraph" w:styleId="22">
    <w:name w:val="Balloon Text"/>
    <w:basedOn w:val="0"/>
    <w:rPr>
      <w:sz w:val="18"/>
      <w:szCs w:val="18"/>
    </w:rPr>
  </w:style>
  <w:style w:type="paragraph" w:styleId="23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4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bdr w:val="none" w:sz="0" w:space="0" w:color="auto"/>
    </w:rPr>
  </w:style>
  <w:style w:type="paragraph" w:styleId="25">
    <w:name w:val="toc 1"/>
    <w:basedOn w:val="0"/>
    <w:next w:val="0"/>
  </w:style>
  <w:style w:type="paragraph" w:styleId="26">
    <w:name w:val="index 7"/>
    <w:basedOn w:val="0"/>
    <w:next w:val="0"/>
    <w:pPr>
      <w:ind w:left="2520"/>
    </w:pPr>
  </w:style>
  <w:style w:type="paragraph" w:styleId="27">
    <w:name w:val="toc 2"/>
    <w:basedOn w:val="0"/>
    <w:next w:val="0"/>
    <w:pPr>
      <w:ind w:left="420"/>
    </w:pPr>
  </w:style>
  <w:style w:type="paragraph" w:styleId="28">
    <w:name w:val="List 4"/>
    <w:basedOn w:val="0"/>
    <w:pPr>
      <w:ind w:left="1680" w:hanging="420"/>
    </w:pPr>
  </w:style>
  <w:style w:type="paragraph" w:styleId="29">
    <w:name w:val="Normal (Web)"/>
    <w:next w:val="23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character" w:styleId="30">
    <w:name w:val="page number"/>
  </w:style>
  <w:style w:type="paragraph" w:customStyle="1" w:styleId="31">
    <w:name w:val="样式 三号"/>
    <w:next w:val="32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32">
    <w:name w:val="样式 三号1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33">
    <w:name w:val="正文1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4">
    <w:name w:val="正文2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5">
    <w:name w:val="正文3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6">
    <w:name w:val="正文4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7">
    <w:name w:val="正文5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8">
    <w:name w:val="正文6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9">
    <w:name w:val="样式 1 三号"/>
    <w:next w:val="25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8"/>
      <w:lang w:val="en-US" w:eastAsia="zh-CN" w:bidi="ar-SA"/>
    </w:rPr>
  </w:style>
  <w:style w:type="paragraph" w:customStyle="1" w:styleId="40">
    <w:name w:val="样式 小三"/>
    <w:next w:val="27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1">
    <w:name w:val="样式 1 小四"/>
    <w:next w:val="37"/>
    <w:pPr>
      <w:widowControl w:val="0"/>
    </w:pPr>
    <w:rPr>
      <w:rFonts w:ascii="宋体" w:eastAsia="宋体" w:cs="Times New Roman"/>
      <w:kern w:val="2"/>
      <w:sz w:val="24"/>
      <w:lang w:val="en-US" w:eastAsia="zh-CN" w:bidi="ar-SA"/>
    </w:rPr>
  </w:style>
  <w:style w:type="paragraph" w:customStyle="1" w:styleId="42">
    <w:name w:val="样式 6 小四"/>
    <w:next w:val="38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43">
    <w:name w:val="样式 20 小四"/>
    <w:next w:val="18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44">
    <w:name w:val="样式 12 三号"/>
    <w:next w:val="45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45">
    <w:name w:val="样式 23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6">
    <w:name w:val="样式 50 三号"/>
    <w:next w:val="20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47">
    <w:name w:val="样式 13 三号"/>
    <w:next w:val="26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48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8"/>
      <w:lang w:val="en-US" w:eastAsia="zh-CN" w:bidi="ar-SA"/>
    </w:rPr>
  </w:style>
  <w:style w:type="paragraph" w:customStyle="1" w:styleId="49">
    <w:name w:val="样式 3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50">
    <w:name w:val="样式 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51">
    <w:name w:val="样式 5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52">
    <w:name w:val="样式 6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8"/>
      <w:lang w:val="en-US" w:eastAsia="zh-CN" w:bidi="ar-SA"/>
    </w:rPr>
  </w:style>
  <w:style w:type="paragraph" w:customStyle="1" w:styleId="53">
    <w:name w:val="样式 7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54">
    <w:name w:val="样式 8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55">
    <w:name w:val="样式 小四"/>
    <w:pPr>
      <w:widowControl w:val="0"/>
    </w:pPr>
    <w:rPr>
      <w:rFonts w:ascii="宋体" w:eastAsia="宋体" w:cs="Times New Roman"/>
      <w:kern w:val="2"/>
      <w:sz w:val="24"/>
      <w:lang w:val="en-US" w:eastAsia="zh-CN" w:bidi="ar-SA"/>
    </w:rPr>
  </w:style>
  <w:style w:type="paragraph" w:customStyle="1" w:styleId="56">
    <w:name w:val="样式 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7">
    <w:name w:val="样式 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8">
    <w:name w:val="样式 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9">
    <w:name w:val="样式 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0">
    <w:name w:val="样式 9 三号"/>
    <w:pPr>
      <w:widowControl w:val="0"/>
      <w:ind w:left="42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61">
    <w:name w:val="样式 2 小四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62">
    <w:name w:val="样式 10 三号"/>
    <w:next w:val="63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63">
    <w:name w:val="样式 21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64">
    <w:name w:val="样式 3 小四"/>
    <w:pPr>
      <w:widowControl w:val="0"/>
    </w:pPr>
    <w:rPr>
      <w:rFonts w:ascii="宋体" w:eastAsia="宋体" w:cs="Times New Roman"/>
      <w:kern w:val="2"/>
      <w:sz w:val="24"/>
      <w:lang w:val="en-US" w:eastAsia="zh-CN" w:bidi="ar-SA"/>
    </w:rPr>
  </w:style>
  <w:style w:type="paragraph" w:customStyle="1" w:styleId="65">
    <w:name w:val="样式 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6">
    <w:name w:val="样式 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7">
    <w:name w:val="样式 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8">
    <w:name w:val="样式 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9">
    <w:name w:val="样式 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0">
    <w:name w:val="样式 1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1">
    <w:name w:val="样式 1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2">
    <w:name w:val="样式 1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3">
    <w:name w:val="样式 1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4">
    <w:name w:val="样式 1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5">
    <w:name w:val="样式 1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6">
    <w:name w:val="样式 1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7">
    <w:name w:val="样式 1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8">
    <w:name w:val="样式 1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9">
    <w:name w:val="样式 1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0">
    <w:name w:val="样式 2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1">
    <w:name w:val="样式 11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82">
    <w:name w:val="样式 90 三号"/>
    <w:next w:val="60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83">
    <w:name w:val="样式 85 三号"/>
    <w:next w:val="59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84">
    <w:name w:val="样式 32 三号"/>
    <w:next w:val="28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85">
    <w:name w:val="样式 1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86">
    <w:name w:val="样式 15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87">
    <w:name w:val="样式 52 三号"/>
    <w:next w:val="52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88">
    <w:name w:val="样式 17 三号"/>
    <w:next w:val="15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89">
    <w:name w:val="样式 16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90">
    <w:name w:val="样式 18 三号"/>
    <w:next w:val="19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91">
    <w:name w:val="样式 19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92">
    <w:name w:val="样式 20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93">
    <w:name w:val="样式 22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94">
    <w:name w:val="样式 2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95">
    <w:name w:val="样式 25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96">
    <w:name w:val="样式 26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97">
    <w:name w:val="样式 27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98">
    <w:name w:val="样式 29 三号"/>
    <w:next w:val="42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99">
    <w:name w:val="样式 30 三号"/>
    <w:next w:val="43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100">
    <w:name w:val="样式 28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101">
    <w:name w:val="样式 31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102">
    <w:name w:val="样式 33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103">
    <w:name w:val="样式 3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104">
    <w:name w:val="样式 35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105">
    <w:name w:val="样式 38 三号"/>
    <w:next w:val="46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106">
    <w:name w:val="样式 37 三号"/>
    <w:next w:val="44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107">
    <w:name w:val="样式 36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numbering" Target="numbering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20</TotalTime>
  <Application>Yozo_Office</Application>
  <Pages>7</Pages>
  <Words>2099</Words>
  <Characters>2226</Characters>
  <Lines>417</Lines>
  <Paragraphs>302</Paragraphs>
  <CharactersWithSpaces>2226</CharactersWithSpaces>
  <Company>ccic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吕大良</dc:creator>
  <cp:lastModifiedBy>周芮安</cp:lastModifiedBy>
  <cp:revision>2</cp:revision>
  <cp:lastPrinted>2026-01-19T06:57:51Z</cp:lastPrinted>
  <dcterms:created xsi:type="dcterms:W3CDTF">2026-01-15T10:37:00Z</dcterms:created>
  <dcterms:modified xsi:type="dcterms:W3CDTF">2026-01-28T06:56:45Z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TemplateDocerSaveRecord">
    <vt:lpwstr>eyJoZGlkIjoiODg5ZDEyOWU1Y2EwZDY1YjA4OGY2NTlmZmE4NTFkZjQiLCJ1c2VySWQiOiIyNDk5NDA3ODgifQ==</vt:lpwstr>
  </property>
  <property fmtid="{D5CDD505-2E9C-101B-9397-08002B2CF9AE}" pid="3" name="KSOProductBuildVer">
    <vt:lpwstr>2052-12.1.0.24657</vt:lpwstr>
  </property>
  <property fmtid="{D5CDD505-2E9C-101B-9397-08002B2CF9AE}" pid="4" name="ICV">
    <vt:lpwstr>D3E5F1519D7D4E5F992051AFD018C8DF_13</vt:lpwstr>
  </property>
</Properties>
</file>