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4B9" w:rsidRDefault="005B2F69">
      <w:pPr>
        <w:jc w:val="center"/>
        <w:rPr>
          <w:rFonts w:ascii="Times New Roman" w:hAnsi="Times New Roman"/>
          <w:sz w:val="48"/>
          <w:szCs w:val="48"/>
        </w:rPr>
      </w:pPr>
      <w:r>
        <w:rPr>
          <w:rFonts w:ascii="Times New Roman" w:hAnsi="Times New Roman" w:hint="eastAsia"/>
          <w:sz w:val="48"/>
          <w:szCs w:val="48"/>
        </w:rPr>
        <w:t xml:space="preserve">       </w:t>
      </w:r>
    </w:p>
    <w:p w:rsidR="006174B9" w:rsidRDefault="006174B9">
      <w:pPr>
        <w:jc w:val="center"/>
        <w:rPr>
          <w:rFonts w:ascii="Times New Roman" w:hAnsi="Times New Roman"/>
          <w:sz w:val="48"/>
          <w:szCs w:val="48"/>
        </w:rPr>
      </w:pPr>
    </w:p>
    <w:p w:rsidR="006174B9" w:rsidRDefault="006174B9">
      <w:pPr>
        <w:jc w:val="center"/>
        <w:rPr>
          <w:rFonts w:ascii="Times New Roman" w:hAnsi="Times New Roman"/>
          <w:sz w:val="48"/>
          <w:szCs w:val="48"/>
        </w:rPr>
      </w:pPr>
    </w:p>
    <w:p w:rsidR="006174B9" w:rsidRDefault="006174B9">
      <w:pPr>
        <w:jc w:val="center"/>
        <w:rPr>
          <w:rFonts w:ascii="Times New Roman" w:hAnsi="Times New Roman"/>
          <w:sz w:val="48"/>
          <w:szCs w:val="48"/>
        </w:rPr>
      </w:pPr>
    </w:p>
    <w:p w:rsidR="006174B9" w:rsidRDefault="005B2F69">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noProof/>
        </w:rPr>
        <w:drawing>
          <wp:inline distT="0" distB="0" distL="0" distR="0">
            <wp:extent cx="3067050" cy="3067050"/>
            <wp:effectExtent l="0" t="0" r="0" b="0"/>
            <wp:docPr id="1" name="图片 1" descr="C:\Users\lenovo\AppData\Local\Temp\ksohtml113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3"/>
                    <pic:cNvPicPr/>
                  </pic:nvPicPr>
                  <pic:blipFill>
                    <a:blip r:embed="rId6"/>
                    <a:stretch>
                      <a:fillRect/>
                    </a:stretch>
                  </pic:blipFill>
                  <pic:spPr>
                    <a:xfrm>
                      <a:off x="0" y="0"/>
                      <a:ext cx="3067050" cy="3067050"/>
                    </a:xfrm>
                    <a:prstGeom prst="rect">
                      <a:avLst/>
                    </a:prstGeom>
                    <a:noFill/>
                    <a:ln w="9525" cap="flat" cmpd="sng">
                      <a:noFill/>
                      <a:prstDash val="solid"/>
                      <a:round/>
                    </a:ln>
                  </pic:spPr>
                </pic:pic>
              </a:graphicData>
            </a:graphic>
          </wp:inline>
        </w:drawing>
      </w:r>
    </w:p>
    <w:p w:rsidR="006174B9" w:rsidRDefault="005B2F69">
      <w:pPr>
        <w:jc w:val="center"/>
        <w:rPr>
          <w:rFonts w:ascii="Times New Roman" w:hAnsi="Times New Roman"/>
          <w:sz w:val="48"/>
          <w:szCs w:val="48"/>
        </w:rPr>
      </w:pPr>
      <w:r>
        <w:rPr>
          <w:rFonts w:ascii="Times New Roman" w:hAnsi="Times New Roman" w:hint="eastAsia"/>
          <w:sz w:val="48"/>
          <w:szCs w:val="48"/>
        </w:rPr>
        <w:t xml:space="preserve">                   </w:t>
      </w:r>
    </w:p>
    <w:p w:rsidR="006174B9" w:rsidRDefault="005B2F69">
      <w:pPr>
        <w:jc w:val="center"/>
        <w:rPr>
          <w:rFonts w:ascii="Times New Roman" w:hAnsi="Times New Roman"/>
          <w:sz w:val="84"/>
          <w:szCs w:val="84"/>
        </w:rPr>
      </w:pPr>
      <w:r>
        <w:rPr>
          <w:rFonts w:ascii="Times New Roman" w:hAnsi="Times New Roman" w:hint="eastAsia"/>
          <w:sz w:val="84"/>
          <w:szCs w:val="84"/>
        </w:rPr>
        <w:t>昆山海关综合技术服务中心部门预算</w:t>
      </w:r>
    </w:p>
    <w:p w:rsidR="006174B9" w:rsidRDefault="005B2F69">
      <w:pPr>
        <w:jc w:val="center"/>
        <w:rPr>
          <w:rFonts w:ascii="Times New Roman" w:hAnsi="Times New Roman"/>
          <w:sz w:val="44"/>
          <w:szCs w:val="44"/>
        </w:rPr>
      </w:pPr>
      <w:r>
        <w:rPr>
          <w:rFonts w:ascii="Times New Roman" w:hAnsi="Times New Roman" w:hint="eastAsia"/>
          <w:sz w:val="44"/>
          <w:szCs w:val="44"/>
        </w:rPr>
        <w:t>2025</w:t>
      </w:r>
      <w:r>
        <w:rPr>
          <w:rFonts w:ascii="Times New Roman" w:hAnsi="Times New Roman" w:hint="eastAsia"/>
          <w:sz w:val="44"/>
          <w:szCs w:val="44"/>
        </w:rPr>
        <w:t>年</w:t>
      </w:r>
    </w:p>
    <w:p w:rsidR="006174B9" w:rsidRDefault="005B2F69">
      <w:pPr>
        <w:jc w:val="center"/>
        <w:rPr>
          <w:rFonts w:ascii="Times New Roman" w:hAnsi="Times New Roman"/>
          <w:sz w:val="44"/>
          <w:szCs w:val="44"/>
        </w:rPr>
      </w:pPr>
      <w:r>
        <w:rPr>
          <w:rFonts w:ascii="Times New Roman" w:hAnsi="Times New Roman" w:hint="eastAsia"/>
          <w:sz w:val="44"/>
          <w:szCs w:val="44"/>
        </w:rPr>
        <w:t xml:space="preserve"> </w:t>
      </w:r>
    </w:p>
    <w:p w:rsidR="006174B9" w:rsidRDefault="006174B9">
      <w:pPr>
        <w:jc w:val="center"/>
        <w:rPr>
          <w:rFonts w:ascii="Times New Roman" w:eastAsia="方正仿宋_GBK" w:hAnsi="Times New Roman"/>
          <w:sz w:val="84"/>
          <w:szCs w:val="84"/>
        </w:rPr>
      </w:pPr>
    </w:p>
    <w:p w:rsidR="006174B9" w:rsidRDefault="006174B9">
      <w:pPr>
        <w:jc w:val="center"/>
        <w:rPr>
          <w:rFonts w:ascii="Times New Roman" w:eastAsia="方正仿宋_GBK" w:hAnsi="Times New Roman"/>
          <w:sz w:val="84"/>
          <w:szCs w:val="84"/>
        </w:rPr>
        <w:sectPr w:rsidR="006174B9">
          <w:pgSz w:w="11906" w:h="16838"/>
          <w:pgMar w:top="1440" w:right="1800" w:bottom="1440" w:left="1800" w:header="851" w:footer="992" w:gutter="0"/>
          <w:pgNumType w:start="0"/>
          <w:cols w:space="720"/>
          <w:docGrid w:type="lines" w:linePitch="312"/>
        </w:sectPr>
      </w:pPr>
    </w:p>
    <w:p w:rsidR="006174B9" w:rsidRDefault="005B2F69">
      <w:pPr>
        <w:jc w:val="center"/>
        <w:rPr>
          <w:rFonts w:ascii="Times New Roman" w:hAnsi="Times New Roman" w:cs="Times New Roman"/>
          <w:b/>
          <w:sz w:val="84"/>
          <w:szCs w:val="84"/>
        </w:rPr>
      </w:pPr>
      <w:r>
        <w:rPr>
          <w:rFonts w:ascii="Times New Roman" w:eastAsia="方正仿宋_GBK" w:hAnsi="Times New Roman"/>
          <w:sz w:val="84"/>
          <w:szCs w:val="84"/>
        </w:rPr>
        <w:lastRenderedPageBreak/>
        <w:tab/>
      </w:r>
      <w:r>
        <w:rPr>
          <w:rFonts w:ascii="宋体" w:hint="eastAsia"/>
          <w:b/>
          <w:sz w:val="84"/>
          <w:szCs w:val="84"/>
        </w:rPr>
        <w:t>目</w:t>
      </w:r>
      <w:r>
        <w:rPr>
          <w:b/>
          <w:sz w:val="84"/>
          <w:szCs w:val="84"/>
        </w:rPr>
        <w:t xml:space="preserve">  </w:t>
      </w:r>
      <w:r>
        <w:rPr>
          <w:rFonts w:ascii="宋体" w:hint="eastAsia"/>
          <w:b/>
          <w:sz w:val="84"/>
          <w:szCs w:val="84"/>
        </w:rPr>
        <w:t>录</w:t>
      </w:r>
    </w:p>
    <w:p w:rsidR="006174B9" w:rsidRDefault="005B2F69">
      <w:pPr>
        <w:rPr>
          <w:b/>
          <w:sz w:val="44"/>
          <w:szCs w:val="44"/>
        </w:rPr>
      </w:pPr>
      <w:r>
        <w:rPr>
          <w:rFonts w:ascii="宋体" w:hint="eastAsia"/>
          <w:b/>
          <w:sz w:val="44"/>
          <w:szCs w:val="44"/>
        </w:rPr>
        <w:t>第一部分</w:t>
      </w:r>
      <w:r>
        <w:rPr>
          <w:rFonts w:hint="eastAsia"/>
          <w:b/>
          <w:sz w:val="44"/>
          <w:szCs w:val="44"/>
        </w:rPr>
        <w:t xml:space="preserve">  </w:t>
      </w:r>
      <w:r>
        <w:rPr>
          <w:rFonts w:hint="eastAsia"/>
          <w:b/>
          <w:sz w:val="44"/>
          <w:szCs w:val="44"/>
        </w:rPr>
        <w:t>昆山</w:t>
      </w:r>
      <w:r>
        <w:rPr>
          <w:rFonts w:ascii="宋体" w:hint="eastAsia"/>
          <w:b/>
          <w:sz w:val="44"/>
          <w:szCs w:val="44"/>
        </w:rPr>
        <w:t>海关综合技术服务中心部门概况</w:t>
      </w:r>
    </w:p>
    <w:p w:rsidR="006174B9" w:rsidRDefault="005B2F69">
      <w:pPr>
        <w:rPr>
          <w:sz w:val="36"/>
          <w:szCs w:val="36"/>
        </w:rPr>
      </w:pPr>
      <w:r>
        <w:rPr>
          <w:rFonts w:ascii="宋体" w:hint="eastAsia"/>
          <w:sz w:val="36"/>
          <w:szCs w:val="36"/>
        </w:rPr>
        <w:t>一、主要职能</w:t>
      </w:r>
    </w:p>
    <w:p w:rsidR="006174B9" w:rsidRDefault="005B2F69">
      <w:pPr>
        <w:rPr>
          <w:sz w:val="36"/>
          <w:szCs w:val="36"/>
        </w:rPr>
      </w:pPr>
      <w:r>
        <w:rPr>
          <w:rFonts w:ascii="宋体" w:hint="eastAsia"/>
          <w:sz w:val="36"/>
          <w:szCs w:val="36"/>
        </w:rPr>
        <w:t>二、昆山海关综合技术服务中心单位构成情况</w:t>
      </w:r>
      <w:r>
        <w:rPr>
          <w:rFonts w:hint="eastAsia"/>
          <w:sz w:val="36"/>
          <w:szCs w:val="36"/>
        </w:rPr>
        <w:t xml:space="preserve"> </w:t>
      </w:r>
    </w:p>
    <w:p w:rsidR="006174B9" w:rsidRDefault="005B2F69">
      <w:pPr>
        <w:rPr>
          <w:b/>
          <w:sz w:val="44"/>
          <w:szCs w:val="44"/>
        </w:rPr>
      </w:pPr>
      <w:r>
        <w:rPr>
          <w:rFonts w:ascii="宋体" w:hint="eastAsia"/>
          <w:b/>
          <w:sz w:val="44"/>
          <w:szCs w:val="44"/>
        </w:rPr>
        <w:t>第二部分</w:t>
      </w:r>
      <w:r>
        <w:rPr>
          <w:rFonts w:hint="eastAsia"/>
          <w:b/>
          <w:sz w:val="44"/>
          <w:szCs w:val="44"/>
        </w:rPr>
        <w:t xml:space="preserve">  </w:t>
      </w:r>
      <w:r>
        <w:rPr>
          <w:rFonts w:hint="eastAsia"/>
          <w:b/>
          <w:sz w:val="44"/>
          <w:szCs w:val="44"/>
        </w:rPr>
        <w:t>昆山</w:t>
      </w:r>
      <w:r>
        <w:rPr>
          <w:rFonts w:ascii="宋体" w:hint="eastAsia"/>
          <w:b/>
          <w:sz w:val="44"/>
          <w:szCs w:val="44"/>
        </w:rPr>
        <w:t>海关综合技术服务中心</w:t>
      </w:r>
      <w:r>
        <w:rPr>
          <w:b/>
          <w:sz w:val="44"/>
          <w:szCs w:val="44"/>
        </w:rPr>
        <w:t>2025</w:t>
      </w:r>
      <w:r>
        <w:rPr>
          <w:rFonts w:ascii="宋体" w:hint="eastAsia"/>
          <w:b/>
          <w:sz w:val="44"/>
          <w:szCs w:val="44"/>
        </w:rPr>
        <w:t>年部门预算表</w:t>
      </w:r>
    </w:p>
    <w:p w:rsidR="006174B9" w:rsidRDefault="005B2F69">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rsidR="006174B9" w:rsidRDefault="005B2F69">
      <w:pPr>
        <w:pStyle w:val="110"/>
        <w:rPr>
          <w:sz w:val="36"/>
          <w:szCs w:val="36"/>
        </w:rPr>
      </w:pPr>
      <w:r>
        <w:rPr>
          <w:rFonts w:ascii="宋体" w:hint="eastAsia"/>
          <w:sz w:val="36"/>
          <w:szCs w:val="36"/>
        </w:rPr>
        <w:t>二、部门收入总表</w:t>
      </w:r>
    </w:p>
    <w:p w:rsidR="006174B9" w:rsidRDefault="005B2F69">
      <w:pPr>
        <w:pStyle w:val="210"/>
        <w:rPr>
          <w:sz w:val="36"/>
          <w:szCs w:val="36"/>
        </w:rPr>
      </w:pPr>
      <w:r>
        <w:rPr>
          <w:rFonts w:ascii="宋体" w:hint="eastAsia"/>
          <w:sz w:val="36"/>
          <w:szCs w:val="36"/>
        </w:rPr>
        <w:t>三、部门支出总表</w:t>
      </w:r>
    </w:p>
    <w:p w:rsidR="006174B9" w:rsidRDefault="005B2F69">
      <w:pPr>
        <w:rPr>
          <w:sz w:val="36"/>
          <w:szCs w:val="36"/>
        </w:rPr>
      </w:pPr>
      <w:r>
        <w:rPr>
          <w:rFonts w:ascii="宋体" w:hint="eastAsia"/>
          <w:sz w:val="36"/>
          <w:szCs w:val="36"/>
        </w:rPr>
        <w:t>四、</w:t>
      </w:r>
      <w:r>
        <w:rPr>
          <w:rFonts w:ascii="宋体"/>
          <w:sz w:val="36"/>
          <w:szCs w:val="36"/>
        </w:rPr>
        <w:t>财政拨款收支总表</w:t>
      </w:r>
    </w:p>
    <w:p w:rsidR="006174B9" w:rsidRDefault="005B2F69">
      <w:pPr>
        <w:rPr>
          <w:sz w:val="36"/>
          <w:szCs w:val="36"/>
        </w:rPr>
      </w:pPr>
      <w:r>
        <w:rPr>
          <w:rFonts w:ascii="宋体" w:hint="eastAsia"/>
          <w:sz w:val="36"/>
          <w:szCs w:val="36"/>
        </w:rPr>
        <w:t>五、</w:t>
      </w:r>
      <w:r>
        <w:rPr>
          <w:rFonts w:ascii="宋体"/>
          <w:sz w:val="36"/>
          <w:szCs w:val="36"/>
        </w:rPr>
        <w:t>一般公共预算支出表</w:t>
      </w:r>
    </w:p>
    <w:p w:rsidR="006174B9" w:rsidRDefault="005B2F69">
      <w:pPr>
        <w:rPr>
          <w:color w:val="339966"/>
          <w:sz w:val="36"/>
          <w:szCs w:val="36"/>
        </w:rPr>
      </w:pPr>
      <w:r>
        <w:rPr>
          <w:rFonts w:ascii="宋体" w:hint="eastAsia"/>
          <w:sz w:val="36"/>
          <w:szCs w:val="36"/>
        </w:rPr>
        <w:t>六、</w:t>
      </w:r>
      <w:r>
        <w:rPr>
          <w:rFonts w:ascii="宋体"/>
          <w:sz w:val="36"/>
          <w:szCs w:val="36"/>
        </w:rPr>
        <w:t>一般公共预算基本支出表</w:t>
      </w:r>
    </w:p>
    <w:p w:rsidR="006174B9" w:rsidRDefault="005B2F69">
      <w:pPr>
        <w:rPr>
          <w:sz w:val="36"/>
          <w:szCs w:val="36"/>
        </w:rPr>
      </w:pPr>
      <w:r>
        <w:rPr>
          <w:rFonts w:ascii="宋体" w:hint="eastAsia"/>
          <w:sz w:val="36"/>
          <w:szCs w:val="36"/>
        </w:rPr>
        <w:t>七、</w:t>
      </w:r>
      <w:r>
        <w:rPr>
          <w:rFonts w:ascii="宋体"/>
          <w:sz w:val="36"/>
          <w:szCs w:val="36"/>
        </w:rPr>
        <w:t>政府性基金预算支出表</w:t>
      </w:r>
    </w:p>
    <w:p w:rsidR="006174B9" w:rsidRDefault="005B2F69">
      <w:pPr>
        <w:rPr>
          <w:rFonts w:ascii="宋体"/>
          <w:sz w:val="36"/>
          <w:szCs w:val="36"/>
        </w:rPr>
      </w:pPr>
      <w:r>
        <w:rPr>
          <w:rFonts w:ascii="宋体" w:hint="eastAsia"/>
          <w:sz w:val="36"/>
          <w:szCs w:val="36"/>
        </w:rPr>
        <w:t>八、</w:t>
      </w:r>
      <w:r>
        <w:rPr>
          <w:rFonts w:ascii="宋体"/>
          <w:sz w:val="36"/>
          <w:szCs w:val="36"/>
        </w:rPr>
        <w:t>国有资本经营预算支出表</w:t>
      </w:r>
    </w:p>
    <w:p w:rsidR="006174B9" w:rsidRDefault="005B2F69">
      <w:pPr>
        <w:rPr>
          <w:sz w:val="36"/>
          <w:szCs w:val="36"/>
        </w:rPr>
      </w:pPr>
      <w:r>
        <w:rPr>
          <w:rFonts w:ascii="宋体"/>
          <w:sz w:val="36"/>
          <w:szCs w:val="36"/>
        </w:rPr>
        <w:t>九、</w:t>
      </w:r>
      <w:r>
        <w:rPr>
          <w:rFonts w:ascii="宋体" w:hint="eastAsia"/>
          <w:sz w:val="36"/>
          <w:szCs w:val="36"/>
        </w:rPr>
        <w:t>财政拨款预算“三公”经费支出表</w:t>
      </w:r>
    </w:p>
    <w:p w:rsidR="006174B9" w:rsidRDefault="005B2F69">
      <w:pPr>
        <w:rPr>
          <w:rFonts w:ascii="宋体"/>
          <w:b/>
          <w:sz w:val="44"/>
          <w:szCs w:val="44"/>
        </w:rPr>
      </w:pPr>
      <w:r>
        <w:rPr>
          <w:rFonts w:ascii="宋体" w:hint="eastAsia"/>
          <w:b/>
          <w:sz w:val="44"/>
          <w:szCs w:val="44"/>
        </w:rPr>
        <w:t>第三部分</w:t>
      </w:r>
      <w:r>
        <w:rPr>
          <w:rFonts w:ascii="宋体" w:hint="eastAsia"/>
          <w:b/>
          <w:sz w:val="44"/>
          <w:szCs w:val="44"/>
        </w:rPr>
        <w:t xml:space="preserve">  </w:t>
      </w:r>
      <w:r>
        <w:rPr>
          <w:rFonts w:ascii="宋体" w:hint="eastAsia"/>
          <w:b/>
          <w:sz w:val="44"/>
          <w:szCs w:val="44"/>
        </w:rPr>
        <w:t>昆山海关综合技术服务中心</w:t>
      </w:r>
      <w:r>
        <w:rPr>
          <w:rFonts w:ascii="宋体"/>
          <w:b/>
          <w:sz w:val="44"/>
          <w:szCs w:val="44"/>
        </w:rPr>
        <w:t>2025</w:t>
      </w:r>
      <w:r>
        <w:rPr>
          <w:rFonts w:ascii="宋体" w:hint="eastAsia"/>
          <w:b/>
          <w:sz w:val="44"/>
          <w:szCs w:val="44"/>
        </w:rPr>
        <w:t>年部门预算情况说明</w:t>
      </w:r>
    </w:p>
    <w:p w:rsidR="006174B9" w:rsidRDefault="005B2F69">
      <w:pPr>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rsidR="006174B9" w:rsidRDefault="005B2F69">
      <w:pPr>
        <w:rPr>
          <w:rFonts w:ascii="宋体"/>
          <w:b/>
          <w:sz w:val="44"/>
          <w:szCs w:val="44"/>
        </w:r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p>
    <w:p w:rsidR="006174B9" w:rsidRDefault="006174B9"/>
    <w:p w:rsidR="006174B9" w:rsidRDefault="005B2F69">
      <w:pPr>
        <w:tabs>
          <w:tab w:val="left" w:pos="6241"/>
        </w:tabs>
        <w:jc w:val="left"/>
        <w:sectPr w:rsidR="006174B9">
          <w:footerReference w:type="default" r:id="rId7"/>
          <w:pgSz w:w="11906" w:h="16838"/>
          <w:pgMar w:top="1440" w:right="1800" w:bottom="1440" w:left="1800" w:header="851" w:footer="992" w:gutter="0"/>
          <w:pgNumType w:start="1"/>
          <w:cols w:space="720"/>
          <w:docGrid w:type="lines" w:linePitch="312"/>
        </w:sectPr>
      </w:pPr>
      <w:r>
        <w:rPr>
          <w:rFonts w:hint="eastAsia"/>
        </w:rPr>
        <w:tab/>
      </w:r>
    </w:p>
    <w:p w:rsidR="006174B9" w:rsidRDefault="006174B9">
      <w:pPr>
        <w:jc w:val="center"/>
        <w:rPr>
          <w:rFonts w:ascii="Times New Roman" w:eastAsia="方正仿宋_GBK" w:hAnsi="Times New Roman"/>
          <w:sz w:val="84"/>
          <w:szCs w:val="84"/>
        </w:rPr>
      </w:pPr>
    </w:p>
    <w:p w:rsidR="006174B9" w:rsidRDefault="006174B9">
      <w:pPr>
        <w:jc w:val="center"/>
        <w:rPr>
          <w:rFonts w:ascii="Times New Roman" w:eastAsia="方正仿宋_GBK" w:hAnsi="Times New Roman"/>
          <w:sz w:val="84"/>
          <w:szCs w:val="84"/>
        </w:rPr>
      </w:pPr>
    </w:p>
    <w:p w:rsidR="006174B9" w:rsidRDefault="006174B9">
      <w:pPr>
        <w:jc w:val="center"/>
        <w:rPr>
          <w:rFonts w:ascii="Times New Roman" w:eastAsia="方正仿宋_GBK" w:hAnsi="Times New Roman"/>
          <w:sz w:val="84"/>
          <w:szCs w:val="84"/>
        </w:rPr>
      </w:pPr>
    </w:p>
    <w:p w:rsidR="006174B9" w:rsidRDefault="006174B9">
      <w:pPr>
        <w:jc w:val="center"/>
        <w:rPr>
          <w:rFonts w:ascii="Times New Roman" w:eastAsia="方正仿宋_GBK" w:hAnsi="Times New Roman"/>
          <w:sz w:val="84"/>
          <w:szCs w:val="84"/>
        </w:rPr>
      </w:pPr>
    </w:p>
    <w:p w:rsidR="006174B9" w:rsidRDefault="005B2F69">
      <w:pPr>
        <w:jc w:val="center"/>
        <w:rPr>
          <w:rFonts w:ascii="Times New Roman" w:hAnsi="Times New Roman"/>
          <w:b/>
          <w:sz w:val="84"/>
          <w:szCs w:val="84"/>
        </w:rPr>
      </w:pPr>
      <w:r>
        <w:rPr>
          <w:rFonts w:ascii="Times New Roman" w:hAnsi="Times New Roman" w:hint="eastAsia"/>
          <w:b/>
          <w:sz w:val="84"/>
          <w:szCs w:val="84"/>
        </w:rPr>
        <w:t>第一部分</w:t>
      </w:r>
    </w:p>
    <w:p w:rsidR="006174B9" w:rsidRDefault="005B2F69">
      <w:pPr>
        <w:jc w:val="center"/>
        <w:rPr>
          <w:rFonts w:ascii="Times New Roman" w:hAnsi="Times New Roman"/>
          <w:b/>
          <w:sz w:val="84"/>
          <w:szCs w:val="84"/>
        </w:rPr>
      </w:pPr>
      <w:r>
        <w:rPr>
          <w:rFonts w:ascii="Times New Roman" w:hAnsi="Times New Roman" w:hint="eastAsia"/>
          <w:b/>
          <w:sz w:val="84"/>
          <w:szCs w:val="84"/>
        </w:rPr>
        <w:t>昆山海关综合技术服务中心部门概况</w:t>
      </w:r>
    </w:p>
    <w:p w:rsidR="006174B9" w:rsidRDefault="006174B9">
      <w:pPr>
        <w:jc w:val="center"/>
        <w:rPr>
          <w:rFonts w:ascii="Times New Roman" w:eastAsia="方正仿宋_GBK" w:hAnsi="Times New Roman"/>
          <w:sz w:val="84"/>
          <w:szCs w:val="84"/>
        </w:rPr>
      </w:pPr>
    </w:p>
    <w:p w:rsidR="006174B9" w:rsidRDefault="006174B9">
      <w:pPr>
        <w:jc w:val="center"/>
        <w:rPr>
          <w:rFonts w:ascii="Times New Roman" w:eastAsia="方正仿宋_GBK" w:hAnsi="Times New Roman"/>
          <w:sz w:val="84"/>
          <w:szCs w:val="84"/>
        </w:rPr>
      </w:pPr>
    </w:p>
    <w:p w:rsidR="006174B9" w:rsidRDefault="006174B9">
      <w:pPr>
        <w:jc w:val="center"/>
        <w:rPr>
          <w:rFonts w:ascii="Times New Roman" w:eastAsia="方正仿宋_GBK" w:hAnsi="Times New Roman"/>
          <w:sz w:val="84"/>
          <w:szCs w:val="84"/>
        </w:rPr>
      </w:pPr>
    </w:p>
    <w:p w:rsidR="006174B9" w:rsidRDefault="006174B9">
      <w:pPr>
        <w:jc w:val="center"/>
        <w:rPr>
          <w:rFonts w:ascii="Times New Roman" w:eastAsia="方正仿宋_GBK" w:hAnsi="Times New Roman"/>
          <w:sz w:val="84"/>
          <w:szCs w:val="84"/>
        </w:rPr>
      </w:pPr>
    </w:p>
    <w:p w:rsidR="006174B9" w:rsidRDefault="005B2F69">
      <w:pPr>
        <w:ind w:left="420"/>
        <w:rPr>
          <w:rFonts w:eastAsia="方正黑体_GBK"/>
          <w:color w:val="000000"/>
          <w:sz w:val="32"/>
          <w:szCs w:val="32"/>
        </w:rPr>
      </w:pPr>
      <w:r>
        <w:rPr>
          <w:rFonts w:eastAsia="方正黑体_GBK" w:hint="eastAsia"/>
          <w:color w:val="000000"/>
          <w:sz w:val="32"/>
          <w:szCs w:val="32"/>
        </w:rPr>
        <w:lastRenderedPageBreak/>
        <w:t>一、主要职能</w:t>
      </w:r>
    </w:p>
    <w:p w:rsidR="006174B9" w:rsidRDefault="005B2F69">
      <w:pPr>
        <w:spacing w:line="560" w:lineRule="exact"/>
        <w:ind w:firstLineChars="200" w:firstLine="640"/>
        <w:rPr>
          <w:rFonts w:eastAsia="方正仿宋_GBK"/>
          <w:color w:val="000000"/>
          <w:sz w:val="32"/>
          <w:szCs w:val="32"/>
        </w:rPr>
      </w:pPr>
      <w:r>
        <w:rPr>
          <w:rFonts w:eastAsia="方正仿宋_GBK" w:hint="eastAsia"/>
          <w:color w:val="000000"/>
          <w:sz w:val="32"/>
          <w:szCs w:val="32"/>
        </w:rPr>
        <w:t>昆山海关综合技术服务中心（以下简称“综技中心”）成立于</w:t>
      </w:r>
      <w:r>
        <w:rPr>
          <w:rFonts w:eastAsia="方正仿宋_GBK"/>
          <w:color w:val="000000"/>
          <w:sz w:val="32"/>
          <w:szCs w:val="32"/>
        </w:rPr>
        <w:t>1999</w:t>
      </w:r>
      <w:r>
        <w:rPr>
          <w:rFonts w:eastAsia="方正仿宋_GBK" w:hint="eastAsia"/>
          <w:color w:val="000000"/>
          <w:sz w:val="32"/>
          <w:szCs w:val="32"/>
        </w:rPr>
        <w:t>年</w:t>
      </w:r>
      <w:r>
        <w:rPr>
          <w:rFonts w:eastAsia="方正仿宋_GBK"/>
          <w:color w:val="000000"/>
          <w:sz w:val="32"/>
          <w:szCs w:val="32"/>
        </w:rPr>
        <w:t>11</w:t>
      </w:r>
      <w:r>
        <w:rPr>
          <w:rFonts w:eastAsia="方正仿宋_GBK" w:hint="eastAsia"/>
          <w:color w:val="000000"/>
          <w:sz w:val="32"/>
          <w:szCs w:val="32"/>
        </w:rPr>
        <w:t>月，系差额补贴事业单位，法定代表人：姚文斌。宗旨和业务范围：为出入境检验检疫提供综合技术支持与后勤服务；负责出入境检验检疫实验室检测；负责检验检疫技术研究开发与服务；负责国际旅行医学检查检验及国际旅行医疗服务；承担与出入境检验检疫有关的商业性自愿委托检测和鉴定、出入境检疫处理、非法定预防接种和体检、动物免疫接种；负责机关办公和职工生活服务。</w:t>
      </w:r>
    </w:p>
    <w:p w:rsidR="006174B9" w:rsidRDefault="005B2F69">
      <w:pPr>
        <w:spacing w:line="560" w:lineRule="exact"/>
        <w:ind w:firstLineChars="200" w:firstLine="640"/>
        <w:rPr>
          <w:rFonts w:eastAsia="方正黑体_GBK"/>
          <w:color w:val="000000"/>
          <w:sz w:val="32"/>
          <w:szCs w:val="32"/>
        </w:rPr>
      </w:pPr>
      <w:r>
        <w:rPr>
          <w:rFonts w:eastAsia="方正黑体_GBK" w:hint="eastAsia"/>
          <w:color w:val="000000"/>
          <w:sz w:val="32"/>
          <w:szCs w:val="32"/>
        </w:rPr>
        <w:t>二、昆山海关综合技术服务中心单位构成情况</w:t>
      </w:r>
    </w:p>
    <w:p w:rsidR="006174B9" w:rsidRDefault="005B2F69">
      <w:pPr>
        <w:autoSpaceDN w:val="0"/>
        <w:spacing w:line="360" w:lineRule="auto"/>
        <w:ind w:firstLineChars="200" w:firstLine="640"/>
        <w:rPr>
          <w:rFonts w:eastAsia="方正仿宋_GBK"/>
          <w:color w:val="000000"/>
          <w:sz w:val="32"/>
          <w:szCs w:val="32"/>
        </w:rPr>
      </w:pPr>
      <w:r>
        <w:rPr>
          <w:rFonts w:eastAsia="方正仿宋_GBK" w:hint="eastAsia"/>
          <w:color w:val="000000"/>
          <w:sz w:val="32"/>
          <w:szCs w:val="32"/>
        </w:rPr>
        <w:t>综技中心内设机构：</w:t>
      </w:r>
      <w:r>
        <w:rPr>
          <w:rFonts w:ascii="方正仿宋_GBK" w:eastAsia="方正仿宋_GBK" w:hint="eastAsia"/>
          <w:color w:val="000000"/>
          <w:sz w:val="32"/>
          <w:szCs w:val="32"/>
        </w:rPr>
        <w:t>综合管理部、技术服务部、后勤服务部和经营</w:t>
      </w:r>
      <w:r>
        <w:rPr>
          <w:rFonts w:ascii="方正仿宋_GBK" w:eastAsia="方正仿宋_GBK" w:hint="eastAsia"/>
          <w:color w:val="000000"/>
          <w:sz w:val="32"/>
          <w:szCs w:val="32"/>
        </w:rPr>
        <w:t>管理部共</w:t>
      </w:r>
      <w:r>
        <w:rPr>
          <w:rFonts w:ascii="Times New Roman" w:hAnsi="Times New Roman" w:cs="Times New Roman"/>
          <w:color w:val="000000"/>
          <w:sz w:val="32"/>
          <w:szCs w:val="32"/>
        </w:rPr>
        <w:t>4</w:t>
      </w:r>
      <w:r>
        <w:rPr>
          <w:rFonts w:ascii="方正仿宋_GBK" w:eastAsia="方正仿宋_GBK" w:hint="eastAsia"/>
          <w:color w:val="000000"/>
          <w:sz w:val="32"/>
          <w:szCs w:val="32"/>
        </w:rPr>
        <w:t>个部门，其中综合管理部负责党建、干部队伍建设、纪检监察等工作，技术服务部负责为海关行政执法提供技术服务、科研开发等工作，后勤服务部负责为昆山海关机关提供后勤服务，经营管理部负责中心的财务管理和投资经济实体的经营管理工作。</w:t>
      </w:r>
    </w:p>
    <w:p w:rsidR="006174B9" w:rsidRDefault="006174B9">
      <w:pPr>
        <w:autoSpaceDN w:val="0"/>
        <w:spacing w:line="360" w:lineRule="auto"/>
        <w:ind w:firstLineChars="200" w:firstLine="640"/>
        <w:rPr>
          <w:rFonts w:eastAsia="方正仿宋_GBK"/>
          <w:color w:val="000000"/>
          <w:sz w:val="32"/>
          <w:szCs w:val="32"/>
        </w:rPr>
        <w:sectPr w:rsidR="006174B9">
          <w:pgSz w:w="11906" w:h="16838"/>
          <w:pgMar w:top="1440" w:right="1797" w:bottom="1440" w:left="1797" w:header="851" w:footer="992" w:gutter="0"/>
          <w:cols w:space="720"/>
          <w:docGrid w:type="linesAndChars" w:linePitch="312"/>
        </w:sectPr>
      </w:pP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color w:val="000000"/>
          <w:sz w:val="32"/>
          <w:szCs w:val="32"/>
        </w:rPr>
        <w:lastRenderedPageBreak/>
        <w:t>纳入昆山海关综合技术服务中心</w:t>
      </w:r>
      <w:r>
        <w:rPr>
          <w:rFonts w:ascii="Times New Roman" w:eastAsia="方正仿宋_GBK" w:hAnsi="Times New Roman" w:hint="eastAsia"/>
          <w:color w:val="000000"/>
          <w:sz w:val="32"/>
          <w:szCs w:val="32"/>
        </w:rPr>
        <w:t xml:space="preserve"> 2025 </w:t>
      </w:r>
      <w:r>
        <w:rPr>
          <w:rFonts w:ascii="Times New Roman" w:eastAsia="方正仿宋_GBK" w:hAnsi="Times New Roman" w:hint="eastAsia"/>
          <w:color w:val="000000"/>
          <w:sz w:val="32"/>
          <w:szCs w:val="32"/>
        </w:rPr>
        <w:t>年部门预</w:t>
      </w:r>
      <w:r>
        <w:rPr>
          <w:rFonts w:ascii="Times New Roman" w:eastAsia="方正仿宋_GBK" w:hAnsi="Times New Roman" w:hint="eastAsia"/>
          <w:sz w:val="32"/>
          <w:szCs w:val="32"/>
        </w:rPr>
        <w:t>算编制范围的单位如下：</w:t>
      </w:r>
    </w:p>
    <w:tbl>
      <w:tblPr>
        <w:tblW w:w="8926" w:type="dxa"/>
        <w:jc w:val="center"/>
        <w:tblLook w:val="04A0" w:firstRow="1" w:lastRow="0" w:firstColumn="1" w:lastColumn="0" w:noHBand="0" w:noVBand="1"/>
      </w:tblPr>
      <w:tblGrid>
        <w:gridCol w:w="704"/>
        <w:gridCol w:w="2977"/>
        <w:gridCol w:w="709"/>
        <w:gridCol w:w="4536"/>
      </w:tblGrid>
      <w:tr w:rsidR="006174B9">
        <w:trPr>
          <w:trHeight w:val="62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eastAsia="方正黑体_GBK" w:hAnsi="Times New Roman" w:cs="宋体"/>
                <w:kern w:val="0"/>
                <w:sz w:val="20"/>
                <w:szCs w:val="20"/>
              </w:rPr>
            </w:pPr>
            <w:r>
              <w:rPr>
                <w:rFonts w:ascii="Times New Roman" w:eastAsia="方正黑体_GBK" w:hAnsi="Times New Roman" w:cs="宋体" w:hint="eastAsia"/>
                <w:kern w:val="0"/>
                <w:sz w:val="20"/>
                <w:szCs w:val="20"/>
              </w:rPr>
              <w:t>序号</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eastAsia="方正黑体_GBK" w:hAnsi="Times New Roman" w:cs="宋体"/>
                <w:kern w:val="0"/>
                <w:sz w:val="20"/>
                <w:szCs w:val="20"/>
              </w:rPr>
            </w:pPr>
            <w:r>
              <w:rPr>
                <w:rFonts w:ascii="Times New Roman" w:eastAsia="方正黑体_GBK" w:hAnsi="Times New Roman" w:cs="宋体" w:hint="eastAsia"/>
                <w:kern w:val="0"/>
                <w:sz w:val="20"/>
                <w:szCs w:val="20"/>
              </w:rPr>
              <w:t>单位名称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eastAsia="方正黑体_GBK" w:hAnsi="Times New Roman" w:cs="宋体"/>
                <w:kern w:val="0"/>
                <w:sz w:val="20"/>
                <w:szCs w:val="20"/>
              </w:rPr>
            </w:pPr>
            <w:r>
              <w:rPr>
                <w:rFonts w:ascii="Times New Roman" w:eastAsia="方正黑体_GBK" w:hAnsi="Times New Roman" w:cs="宋体" w:hint="eastAsia"/>
                <w:kern w:val="0"/>
                <w:sz w:val="20"/>
                <w:szCs w:val="20"/>
              </w:rPr>
              <w:t>序号</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eastAsia="方正黑体_GBK" w:hAnsi="Times New Roman" w:cs="宋体"/>
                <w:kern w:val="0"/>
                <w:sz w:val="20"/>
                <w:szCs w:val="20"/>
              </w:rPr>
            </w:pPr>
            <w:r>
              <w:rPr>
                <w:rFonts w:ascii="Times New Roman" w:eastAsia="方正黑体_GBK" w:hAnsi="Times New Roman" w:cs="宋体" w:hint="eastAsia"/>
                <w:kern w:val="0"/>
                <w:sz w:val="20"/>
                <w:szCs w:val="20"/>
              </w:rPr>
              <w:t>单位名称</w:t>
            </w: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方正仿宋_GBK" w:eastAsia="方正仿宋_GBK" w:cs="宋体"/>
                <w:kern w:val="0"/>
                <w:sz w:val="20"/>
                <w:szCs w:val="20"/>
              </w:rPr>
            </w:pPr>
            <w:r>
              <w:rPr>
                <w:rFonts w:ascii="方正仿宋_GBK" w:eastAsia="方正仿宋_GBK" w:hint="eastAsia"/>
                <w:color w:val="000000"/>
                <w:sz w:val="20"/>
                <w:szCs w:val="20"/>
              </w:rPr>
              <w:t>昆山海关综合技术服务中心</w:t>
            </w: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20</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方正仿宋_GBK" w:eastAsia="方正仿宋_GBK"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21</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22</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23</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24</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6</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25</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7</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26</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8</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27</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9</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28</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29</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11</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30</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12</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31</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32</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14</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33</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15</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34</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16</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35</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17</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36</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37</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r w:rsidR="006174B9">
        <w:trPr>
          <w:trHeight w:val="624"/>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19</w:t>
            </w:r>
          </w:p>
        </w:tc>
        <w:tc>
          <w:tcPr>
            <w:tcW w:w="2977"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38</w:t>
            </w:r>
          </w:p>
        </w:tc>
        <w:tc>
          <w:tcPr>
            <w:tcW w:w="453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eastAsia="方正仿宋_GBK" w:hAnsi="Times New Roman" w:cs="宋体"/>
                <w:kern w:val="0"/>
                <w:sz w:val="20"/>
                <w:szCs w:val="20"/>
              </w:rPr>
            </w:pPr>
          </w:p>
        </w:tc>
      </w:tr>
    </w:tbl>
    <w:p w:rsidR="006174B9" w:rsidRDefault="006174B9">
      <w:pPr>
        <w:jc w:val="center"/>
        <w:rPr>
          <w:rFonts w:ascii="Times New Roman" w:eastAsia="方正仿宋_GBK" w:hAnsi="Times New Roman"/>
          <w:sz w:val="84"/>
          <w:szCs w:val="84"/>
        </w:rPr>
      </w:pPr>
    </w:p>
    <w:p w:rsidR="006174B9" w:rsidRDefault="006174B9">
      <w:pPr>
        <w:jc w:val="center"/>
        <w:rPr>
          <w:rFonts w:ascii="Times New Roman" w:eastAsia="方正仿宋_GBK" w:hAnsi="Times New Roman"/>
          <w:sz w:val="84"/>
          <w:szCs w:val="84"/>
        </w:rPr>
      </w:pPr>
    </w:p>
    <w:p w:rsidR="006174B9" w:rsidRDefault="006174B9">
      <w:pPr>
        <w:jc w:val="center"/>
        <w:rPr>
          <w:rFonts w:ascii="Times New Roman" w:eastAsia="方正仿宋_GBK" w:hAnsi="Times New Roman"/>
          <w:sz w:val="84"/>
          <w:szCs w:val="84"/>
        </w:rPr>
      </w:pPr>
    </w:p>
    <w:p w:rsidR="006174B9" w:rsidRDefault="006174B9">
      <w:pPr>
        <w:jc w:val="center"/>
        <w:rPr>
          <w:rFonts w:ascii="Times New Roman" w:eastAsia="方正仿宋_GBK" w:hAnsi="Times New Roman"/>
          <w:sz w:val="84"/>
          <w:szCs w:val="84"/>
        </w:rPr>
      </w:pPr>
    </w:p>
    <w:p w:rsidR="006174B9" w:rsidRDefault="005B2F69">
      <w:pPr>
        <w:jc w:val="center"/>
        <w:rPr>
          <w:rFonts w:ascii="Times New Roman" w:hAnsi="Times New Roman"/>
          <w:b/>
          <w:sz w:val="72"/>
          <w:szCs w:val="72"/>
        </w:rPr>
      </w:pPr>
      <w:r>
        <w:rPr>
          <w:rFonts w:ascii="Times New Roman" w:hAnsi="Times New Roman" w:hint="eastAsia"/>
          <w:b/>
          <w:sz w:val="72"/>
          <w:szCs w:val="72"/>
        </w:rPr>
        <w:t>第二部分</w:t>
      </w:r>
      <w:r>
        <w:rPr>
          <w:rFonts w:ascii="Times New Roman" w:hAnsi="Times New Roman"/>
          <w:b/>
          <w:sz w:val="72"/>
          <w:szCs w:val="72"/>
        </w:rPr>
        <w:t xml:space="preserve">  </w:t>
      </w:r>
    </w:p>
    <w:p w:rsidR="006174B9" w:rsidRDefault="005B2F69">
      <w:pPr>
        <w:jc w:val="center"/>
        <w:rPr>
          <w:rFonts w:ascii="Times New Roman" w:hAnsi="Times New Roman"/>
          <w:b/>
          <w:sz w:val="72"/>
          <w:szCs w:val="72"/>
        </w:rPr>
      </w:pPr>
      <w:r>
        <w:rPr>
          <w:rFonts w:ascii="Times New Roman" w:hAnsi="Times New Roman" w:hint="eastAsia"/>
          <w:b/>
          <w:sz w:val="72"/>
          <w:szCs w:val="72"/>
        </w:rPr>
        <w:t>昆山海关综合技术服务中心</w:t>
      </w:r>
      <w:r>
        <w:rPr>
          <w:rFonts w:ascii="Times New Roman" w:hAnsi="Times New Roman"/>
          <w:b/>
          <w:sz w:val="72"/>
          <w:szCs w:val="72"/>
        </w:rPr>
        <w:t>2025</w:t>
      </w:r>
      <w:r>
        <w:rPr>
          <w:rFonts w:ascii="Times New Roman" w:hAnsi="Times New Roman" w:hint="eastAsia"/>
          <w:b/>
          <w:sz w:val="72"/>
          <w:szCs w:val="72"/>
        </w:rPr>
        <w:t>年部门预算表</w:t>
      </w:r>
    </w:p>
    <w:p w:rsidR="006174B9" w:rsidRDefault="006174B9">
      <w:pPr>
        <w:jc w:val="center"/>
        <w:rPr>
          <w:rFonts w:ascii="Times New Roman" w:eastAsia="方正仿宋_GBK" w:hAnsi="Times New Roman"/>
          <w:sz w:val="84"/>
          <w:szCs w:val="84"/>
        </w:rPr>
      </w:pPr>
    </w:p>
    <w:p w:rsidR="006174B9" w:rsidRDefault="006174B9">
      <w:pPr>
        <w:jc w:val="center"/>
        <w:rPr>
          <w:rFonts w:ascii="Times New Roman" w:eastAsia="方正仿宋_GBK" w:hAnsi="Times New Roman"/>
          <w:sz w:val="84"/>
          <w:szCs w:val="84"/>
        </w:rPr>
      </w:pPr>
    </w:p>
    <w:p w:rsidR="006174B9" w:rsidRDefault="006174B9">
      <w:pPr>
        <w:widowControl/>
        <w:jc w:val="left"/>
        <w:rPr>
          <w:rFonts w:ascii="Times New Roman" w:eastAsia="方正仿宋_GBK" w:hAnsi="Times New Roman"/>
          <w:sz w:val="84"/>
          <w:szCs w:val="84"/>
        </w:rPr>
        <w:sectPr w:rsidR="006174B9">
          <w:pgSz w:w="11906" w:h="16838"/>
          <w:pgMar w:top="1440" w:right="1800" w:bottom="1440" w:left="1800" w:header="851" w:footer="992" w:gutter="0"/>
          <w:cols w:space="720"/>
          <w:docGrid w:type="lines" w:linePitch="312"/>
        </w:sectPr>
      </w:pPr>
    </w:p>
    <w:tbl>
      <w:tblPr>
        <w:tblW w:w="13892" w:type="dxa"/>
        <w:jc w:val="center"/>
        <w:tblLook w:val="04A0" w:firstRow="1" w:lastRow="0" w:firstColumn="1" w:lastColumn="0" w:noHBand="0" w:noVBand="1"/>
      </w:tblPr>
      <w:tblGrid>
        <w:gridCol w:w="3686"/>
        <w:gridCol w:w="3260"/>
        <w:gridCol w:w="3827"/>
        <w:gridCol w:w="3119"/>
      </w:tblGrid>
      <w:tr w:rsidR="006174B9">
        <w:trPr>
          <w:trHeight w:val="319"/>
          <w:jc w:val="center"/>
        </w:trPr>
        <w:tc>
          <w:tcPr>
            <w:tcW w:w="10773" w:type="dxa"/>
            <w:gridSpan w:val="3"/>
            <w:tcBorders>
              <w:top w:val="nil"/>
              <w:left w:val="nil"/>
              <w:bottom w:val="nil"/>
              <w:right w:val="nil"/>
            </w:tcBorders>
            <w:shd w:val="clear" w:color="auto" w:fill="auto"/>
            <w:noWrap/>
            <w:vAlign w:val="center"/>
          </w:tcPr>
          <w:p w:rsidR="006174B9" w:rsidRDefault="006174B9">
            <w:pPr>
              <w:widowControl/>
              <w:jc w:val="left"/>
              <w:rPr>
                <w:rFonts w:ascii="Times New Roman" w:hAnsi="Times New Roman" w:cs="宋体"/>
                <w:kern w:val="0"/>
                <w:sz w:val="24"/>
                <w:szCs w:val="24"/>
              </w:rPr>
            </w:pPr>
          </w:p>
        </w:tc>
        <w:tc>
          <w:tcPr>
            <w:tcW w:w="3119" w:type="dxa"/>
            <w:tcBorders>
              <w:top w:val="nil"/>
              <w:left w:val="nil"/>
              <w:bottom w:val="nil"/>
              <w:right w:val="nil"/>
            </w:tcBorders>
            <w:shd w:val="clear" w:color="auto" w:fill="auto"/>
            <w:noWrap/>
            <w:vAlign w:val="center"/>
          </w:tcPr>
          <w:p w:rsidR="006174B9" w:rsidRDefault="005B2F69">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1</w:t>
            </w:r>
          </w:p>
        </w:tc>
      </w:tr>
      <w:tr w:rsidR="006174B9">
        <w:trPr>
          <w:trHeight w:val="540"/>
          <w:jc w:val="center"/>
        </w:trPr>
        <w:tc>
          <w:tcPr>
            <w:tcW w:w="13892" w:type="dxa"/>
            <w:gridSpan w:val="4"/>
            <w:tcBorders>
              <w:top w:val="nil"/>
              <w:left w:val="nil"/>
              <w:bottom w:val="nil"/>
              <w:right w:val="nil"/>
            </w:tcBorders>
            <w:shd w:val="clear" w:color="auto" w:fill="auto"/>
            <w:noWrap/>
            <w:vAlign w:val="center"/>
          </w:tcPr>
          <w:p w:rsidR="006174B9" w:rsidRDefault="005B2F69">
            <w:pPr>
              <w:widowControl/>
              <w:jc w:val="center"/>
              <w:rPr>
                <w:rFonts w:ascii="Times New Roman" w:hAnsi="Times New Roman" w:cs="宋体"/>
                <w:color w:val="000000"/>
                <w:kern w:val="0"/>
                <w:sz w:val="36"/>
                <w:szCs w:val="36"/>
              </w:rPr>
            </w:pPr>
            <w:r>
              <w:rPr>
                <w:rFonts w:ascii="Times New Roman" w:hAnsi="Times New Roman" w:cs="宋体" w:hint="eastAsia"/>
                <w:color w:val="000000"/>
                <w:kern w:val="0"/>
                <w:sz w:val="36"/>
                <w:szCs w:val="36"/>
              </w:rPr>
              <w:t>部门收支总表</w:t>
            </w:r>
          </w:p>
        </w:tc>
      </w:tr>
      <w:tr w:rsidR="006174B9">
        <w:trPr>
          <w:trHeight w:val="360"/>
          <w:jc w:val="center"/>
        </w:trPr>
        <w:tc>
          <w:tcPr>
            <w:tcW w:w="3686"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3260"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827"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119" w:type="dxa"/>
            <w:tcBorders>
              <w:top w:val="nil"/>
              <w:left w:val="nil"/>
              <w:bottom w:val="nil"/>
              <w:right w:val="nil"/>
            </w:tcBorders>
            <w:shd w:val="clear" w:color="auto" w:fill="auto"/>
            <w:noWrap/>
            <w:vAlign w:val="center"/>
          </w:tcPr>
          <w:p w:rsidR="006174B9" w:rsidRDefault="005B2F69">
            <w:pPr>
              <w:widowControl/>
              <w:jc w:val="right"/>
              <w:rPr>
                <w:rFonts w:ascii="Times New Roman" w:hAnsi="Times New Roman" w:cs="宋体"/>
                <w:color w:val="000000"/>
                <w:kern w:val="0"/>
                <w:sz w:val="20"/>
                <w:szCs w:val="20"/>
              </w:rPr>
            </w:pPr>
            <w:r>
              <w:rPr>
                <w:rFonts w:ascii="Times New Roman" w:hAnsi="Times New Roman" w:cs="宋体" w:hint="eastAsia"/>
                <w:color w:val="000000"/>
                <w:kern w:val="0"/>
                <w:sz w:val="20"/>
                <w:szCs w:val="20"/>
              </w:rPr>
              <w:t>单位：万元</w:t>
            </w:r>
          </w:p>
        </w:tc>
      </w:tr>
      <w:tr w:rsidR="006174B9">
        <w:trPr>
          <w:trHeight w:val="360"/>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收</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支</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出</w:t>
            </w: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目</w:t>
            </w:r>
          </w:p>
        </w:tc>
        <w:tc>
          <w:tcPr>
            <w:tcW w:w="3260"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目</w:t>
            </w:r>
          </w:p>
        </w:tc>
        <w:tc>
          <w:tcPr>
            <w:tcW w:w="3119"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预算数</w:t>
            </w: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宋体" w:cs="宋体"/>
                <w:sz w:val="20"/>
                <w:szCs w:val="20"/>
              </w:rPr>
            </w:pPr>
            <w:r>
              <w:rPr>
                <w:sz w:val="20"/>
                <w:szCs w:val="20"/>
              </w:rPr>
              <w:t>374</w:t>
            </w:r>
            <w:r>
              <w:rPr>
                <w:rFonts w:hint="eastAsia"/>
                <w:sz w:val="20"/>
                <w:szCs w:val="20"/>
              </w:rPr>
              <w:t>.00</w:t>
            </w: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宋体" w:cs="宋体"/>
                <w:sz w:val="20"/>
                <w:szCs w:val="20"/>
              </w:rPr>
            </w:pPr>
            <w:r>
              <w:rPr>
                <w:sz w:val="20"/>
                <w:szCs w:val="20"/>
              </w:rPr>
              <w:t>2144.77</w:t>
            </w: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二、外交支出</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三、公共安全支出</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600</w:t>
            </w:r>
            <w:r>
              <w:rPr>
                <w:rFonts w:ascii="Times New Roman" w:hAnsi="Times New Roman" w:cs="Times New Roman" w:hint="eastAsia"/>
                <w:color w:val="000000"/>
                <w:kern w:val="0"/>
                <w:sz w:val="20"/>
                <w:szCs w:val="20"/>
              </w:rPr>
              <w:t>.00</w:t>
            </w: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四、教育支出</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五、社会保障和就业支出</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宋体" w:cs="宋体"/>
                <w:sz w:val="20"/>
                <w:szCs w:val="20"/>
              </w:rPr>
            </w:pPr>
            <w:r>
              <w:rPr>
                <w:sz w:val="20"/>
                <w:szCs w:val="20"/>
              </w:rPr>
              <w:t>233.01</w:t>
            </w: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宋体" w:cs="宋体"/>
                <w:sz w:val="20"/>
                <w:szCs w:val="20"/>
              </w:rPr>
            </w:pPr>
            <w:r>
              <w:rPr>
                <w:sz w:val="20"/>
                <w:szCs w:val="20"/>
              </w:rPr>
              <w:t>1633.53</w:t>
            </w: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六、卫生健康支出</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宋体" w:cs="宋体"/>
                <w:sz w:val="20"/>
                <w:szCs w:val="20"/>
              </w:rPr>
            </w:pPr>
            <w:r>
              <w:rPr>
                <w:sz w:val="20"/>
                <w:szCs w:val="20"/>
              </w:rPr>
              <w:t>7.44</w:t>
            </w: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七、住房保障支出</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宋体" w:cs="宋体"/>
                <w:sz w:val="20"/>
                <w:szCs w:val="20"/>
              </w:rPr>
            </w:pPr>
            <w:r>
              <w:rPr>
                <w:sz w:val="20"/>
                <w:szCs w:val="20"/>
              </w:rPr>
              <w:t>422.31</w:t>
            </w: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5B2F69">
            <w:pPr>
              <w:jc w:val="right"/>
              <w:rPr>
                <w:sz w:val="20"/>
                <w:szCs w:val="20"/>
              </w:rPr>
            </w:pPr>
            <w:r>
              <w:rPr>
                <w:sz w:val="20"/>
                <w:szCs w:val="20"/>
              </w:rPr>
              <w:t>2607.53</w:t>
            </w: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宋体" w:cs="宋体"/>
                <w:sz w:val="20"/>
                <w:szCs w:val="20"/>
              </w:rPr>
            </w:pPr>
            <w:r>
              <w:rPr>
                <w:sz w:val="20"/>
                <w:szCs w:val="20"/>
              </w:rPr>
              <w:t>2807.53</w:t>
            </w: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20"/>
                <w:szCs w:val="20"/>
              </w:rPr>
            </w:pPr>
            <w:r>
              <w:rPr>
                <w:rFonts w:ascii="Times New Roman" w:hAnsi="Times New Roman" w:cs="Times New Roman" w:hint="eastAsia"/>
                <w:sz w:val="20"/>
                <w:szCs w:val="20"/>
              </w:rPr>
              <w:t>200</w:t>
            </w:r>
            <w:r>
              <w:rPr>
                <w:rFonts w:ascii="Times New Roman" w:hAnsi="Times New Roman" w:cs="Times New Roman"/>
                <w:sz w:val="20"/>
                <w:szCs w:val="20"/>
              </w:rPr>
              <w:t>.00</w:t>
            </w: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r>
      <w:tr w:rsidR="006174B9">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收</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入</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总</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计</w:t>
            </w:r>
          </w:p>
        </w:tc>
        <w:tc>
          <w:tcPr>
            <w:tcW w:w="3260"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宋体" w:cs="宋体"/>
                <w:sz w:val="20"/>
                <w:szCs w:val="20"/>
              </w:rPr>
            </w:pPr>
            <w:r>
              <w:rPr>
                <w:sz w:val="20"/>
                <w:szCs w:val="20"/>
              </w:rPr>
              <w:t>2807.53</w:t>
            </w:r>
          </w:p>
        </w:tc>
        <w:tc>
          <w:tcPr>
            <w:tcW w:w="3827"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支</w:t>
            </w: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出</w:t>
            </w: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总</w:t>
            </w: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计</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sz w:val="20"/>
                <w:szCs w:val="20"/>
              </w:rPr>
              <w:t>2807.53</w:t>
            </w:r>
          </w:p>
        </w:tc>
      </w:tr>
    </w:tbl>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tbl>
      <w:tblPr>
        <w:tblW w:w="13608" w:type="dxa"/>
        <w:jc w:val="center"/>
        <w:tblLook w:val="04A0" w:firstRow="1" w:lastRow="0" w:firstColumn="1" w:lastColumn="0" w:noHBand="0" w:noVBand="1"/>
      </w:tblPr>
      <w:tblGrid>
        <w:gridCol w:w="1216"/>
        <w:gridCol w:w="1360"/>
        <w:gridCol w:w="1220"/>
        <w:gridCol w:w="880"/>
        <w:gridCol w:w="880"/>
        <w:gridCol w:w="1116"/>
        <w:gridCol w:w="1120"/>
        <w:gridCol w:w="1139"/>
        <w:gridCol w:w="1134"/>
        <w:gridCol w:w="1087"/>
        <w:gridCol w:w="1166"/>
        <w:gridCol w:w="1290"/>
      </w:tblGrid>
      <w:tr w:rsidR="006174B9">
        <w:trPr>
          <w:trHeight w:val="270"/>
          <w:jc w:val="center"/>
        </w:trPr>
        <w:tc>
          <w:tcPr>
            <w:tcW w:w="1216" w:type="dxa"/>
            <w:tcBorders>
              <w:top w:val="nil"/>
              <w:left w:val="nil"/>
              <w:bottom w:val="nil"/>
              <w:right w:val="nil"/>
            </w:tcBorders>
            <w:shd w:val="clear" w:color="auto" w:fill="auto"/>
            <w:noWrap/>
            <w:vAlign w:val="center"/>
          </w:tcPr>
          <w:p w:rsidR="006174B9" w:rsidRDefault="006174B9">
            <w:pPr>
              <w:widowControl/>
              <w:jc w:val="left"/>
              <w:rPr>
                <w:rFonts w:ascii="Times New Roman" w:hAnsi="Times New Roman" w:cs="宋体"/>
                <w:kern w:val="0"/>
                <w:sz w:val="24"/>
                <w:szCs w:val="24"/>
              </w:rPr>
            </w:pPr>
          </w:p>
        </w:tc>
        <w:tc>
          <w:tcPr>
            <w:tcW w:w="1360"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1220"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880"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880"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1116"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1139"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1087"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2456" w:type="dxa"/>
            <w:gridSpan w:val="2"/>
            <w:tcBorders>
              <w:top w:val="nil"/>
              <w:left w:val="nil"/>
              <w:bottom w:val="nil"/>
              <w:right w:val="nil"/>
            </w:tcBorders>
            <w:shd w:val="clear" w:color="auto" w:fill="auto"/>
            <w:noWrap/>
            <w:vAlign w:val="center"/>
          </w:tcPr>
          <w:p w:rsidR="006174B9" w:rsidRDefault="005B2F69">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hint="eastAsia"/>
                <w:kern w:val="0"/>
                <w:sz w:val="20"/>
                <w:szCs w:val="20"/>
              </w:rPr>
              <w:t>2</w:t>
            </w:r>
          </w:p>
        </w:tc>
      </w:tr>
      <w:tr w:rsidR="006174B9">
        <w:trPr>
          <w:trHeight w:val="405"/>
          <w:jc w:val="center"/>
        </w:trPr>
        <w:tc>
          <w:tcPr>
            <w:tcW w:w="13608" w:type="dxa"/>
            <w:gridSpan w:val="12"/>
            <w:tcBorders>
              <w:top w:val="nil"/>
              <w:left w:val="nil"/>
              <w:bottom w:val="nil"/>
              <w:right w:val="nil"/>
            </w:tcBorders>
            <w:shd w:val="clear" w:color="auto" w:fill="auto"/>
            <w:noWrap/>
            <w:vAlign w:val="center"/>
          </w:tcPr>
          <w:p w:rsidR="006174B9" w:rsidRDefault="005B2F69">
            <w:pPr>
              <w:widowControl/>
              <w:jc w:val="center"/>
              <w:rPr>
                <w:rFonts w:ascii="Times New Roman" w:hAnsi="Times New Roman" w:cs="宋体"/>
                <w:kern w:val="0"/>
                <w:sz w:val="36"/>
                <w:szCs w:val="36"/>
              </w:rPr>
            </w:pPr>
            <w:r>
              <w:rPr>
                <w:rFonts w:ascii="Times New Roman" w:hAnsi="Times New Roman" w:cs="宋体" w:hint="eastAsia"/>
                <w:kern w:val="0"/>
                <w:sz w:val="36"/>
                <w:szCs w:val="36"/>
              </w:rPr>
              <w:t>部门收入总表</w:t>
            </w:r>
          </w:p>
        </w:tc>
      </w:tr>
      <w:tr w:rsidR="006174B9">
        <w:trPr>
          <w:trHeight w:val="270"/>
          <w:jc w:val="center"/>
        </w:trPr>
        <w:tc>
          <w:tcPr>
            <w:tcW w:w="1216"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360"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220"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16"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20"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9"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087"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66"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290"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单位：万元</w:t>
            </w:r>
          </w:p>
        </w:tc>
      </w:tr>
      <w:tr w:rsidR="006174B9">
        <w:trPr>
          <w:trHeight w:val="270"/>
          <w:jc w:val="center"/>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使用非财政拨款结余</w:t>
            </w:r>
          </w:p>
        </w:tc>
      </w:tr>
      <w:tr w:rsidR="006174B9">
        <w:trPr>
          <w:trHeight w:val="480"/>
          <w:jc w:val="center"/>
        </w:trPr>
        <w:tc>
          <w:tcPr>
            <w:tcW w:w="1216" w:type="dxa"/>
            <w:vMerge/>
            <w:tcBorders>
              <w:top w:val="nil"/>
              <w:left w:val="single" w:sz="4" w:space="0" w:color="auto"/>
              <w:bottom w:val="single" w:sz="4" w:space="0" w:color="auto"/>
              <w:right w:val="single" w:sz="4" w:space="0" w:color="auto"/>
            </w:tcBorders>
            <w:vAlign w:val="center"/>
          </w:tcPr>
          <w:p w:rsidR="006174B9" w:rsidRDefault="006174B9"/>
        </w:tc>
        <w:tc>
          <w:tcPr>
            <w:tcW w:w="1360" w:type="dxa"/>
            <w:vMerge/>
            <w:tcBorders>
              <w:top w:val="nil"/>
              <w:left w:val="single" w:sz="4" w:space="0" w:color="auto"/>
              <w:bottom w:val="nil"/>
              <w:right w:val="single" w:sz="4" w:space="0" w:color="auto"/>
            </w:tcBorders>
            <w:vAlign w:val="center"/>
          </w:tcPr>
          <w:p w:rsidR="006174B9" w:rsidRDefault="006174B9"/>
        </w:tc>
        <w:tc>
          <w:tcPr>
            <w:tcW w:w="1220" w:type="dxa"/>
            <w:vMerge/>
            <w:tcBorders>
              <w:top w:val="nil"/>
              <w:left w:val="single" w:sz="4" w:space="0" w:color="auto"/>
              <w:bottom w:val="single" w:sz="4" w:space="0" w:color="auto"/>
              <w:right w:val="single" w:sz="4" w:space="0" w:color="auto"/>
            </w:tcBorders>
            <w:vAlign w:val="center"/>
          </w:tcPr>
          <w:p w:rsidR="006174B9" w:rsidRDefault="006174B9"/>
        </w:tc>
        <w:tc>
          <w:tcPr>
            <w:tcW w:w="880" w:type="dxa"/>
            <w:vMerge/>
            <w:tcBorders>
              <w:top w:val="nil"/>
              <w:left w:val="single" w:sz="4" w:space="0" w:color="auto"/>
              <w:bottom w:val="single" w:sz="4" w:space="0" w:color="auto"/>
              <w:right w:val="single" w:sz="4" w:space="0" w:color="auto"/>
            </w:tcBorders>
            <w:vAlign w:val="center"/>
          </w:tcPr>
          <w:p w:rsidR="006174B9" w:rsidRDefault="006174B9"/>
        </w:tc>
        <w:tc>
          <w:tcPr>
            <w:tcW w:w="880" w:type="dxa"/>
            <w:vMerge/>
            <w:tcBorders>
              <w:top w:val="nil"/>
              <w:left w:val="single" w:sz="4" w:space="0" w:color="auto"/>
              <w:bottom w:val="single" w:sz="4" w:space="0" w:color="auto"/>
              <w:right w:val="single" w:sz="4" w:space="0" w:color="auto"/>
            </w:tcBorders>
            <w:vAlign w:val="center"/>
          </w:tcPr>
          <w:p w:rsidR="006174B9" w:rsidRDefault="006174B9"/>
        </w:tc>
        <w:tc>
          <w:tcPr>
            <w:tcW w:w="1116" w:type="dxa"/>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rsidR="006174B9" w:rsidRDefault="006174B9"/>
        </w:tc>
        <w:tc>
          <w:tcPr>
            <w:tcW w:w="1134" w:type="dxa"/>
            <w:vMerge/>
            <w:tcBorders>
              <w:top w:val="single" w:sz="4" w:space="0" w:color="auto"/>
              <w:left w:val="single" w:sz="4" w:space="0" w:color="auto"/>
              <w:bottom w:val="single" w:sz="4" w:space="0" w:color="000000"/>
              <w:right w:val="single" w:sz="4" w:space="0" w:color="auto"/>
            </w:tcBorders>
            <w:vAlign w:val="center"/>
          </w:tcPr>
          <w:p w:rsidR="006174B9" w:rsidRDefault="006174B9"/>
        </w:tc>
        <w:tc>
          <w:tcPr>
            <w:tcW w:w="1087" w:type="dxa"/>
            <w:vMerge/>
            <w:tcBorders>
              <w:top w:val="single" w:sz="4" w:space="0" w:color="auto"/>
              <w:left w:val="single" w:sz="4" w:space="0" w:color="auto"/>
              <w:bottom w:val="single" w:sz="4" w:space="0" w:color="auto"/>
              <w:right w:val="single" w:sz="4" w:space="0" w:color="auto"/>
            </w:tcBorders>
            <w:vAlign w:val="center"/>
          </w:tcPr>
          <w:p w:rsidR="006174B9" w:rsidRDefault="006174B9"/>
        </w:tc>
        <w:tc>
          <w:tcPr>
            <w:tcW w:w="1166" w:type="dxa"/>
            <w:vMerge/>
            <w:tcBorders>
              <w:top w:val="single" w:sz="4" w:space="0" w:color="auto"/>
              <w:left w:val="single" w:sz="4" w:space="0" w:color="auto"/>
              <w:bottom w:val="single" w:sz="4" w:space="0" w:color="auto"/>
              <w:right w:val="single" w:sz="4" w:space="0" w:color="auto"/>
            </w:tcBorders>
            <w:vAlign w:val="center"/>
          </w:tcPr>
          <w:p w:rsidR="006174B9" w:rsidRDefault="006174B9"/>
        </w:tc>
        <w:tc>
          <w:tcPr>
            <w:tcW w:w="1290" w:type="dxa"/>
            <w:vMerge/>
            <w:tcBorders>
              <w:top w:val="single" w:sz="4" w:space="0" w:color="auto"/>
              <w:left w:val="single" w:sz="4" w:space="0" w:color="auto"/>
              <w:bottom w:val="single" w:sz="4" w:space="0" w:color="auto"/>
              <w:right w:val="single" w:sz="4" w:space="0" w:color="auto"/>
            </w:tcBorders>
            <w:vAlign w:val="center"/>
          </w:tcPr>
          <w:p w:rsidR="006174B9" w:rsidRDefault="006174B9"/>
        </w:tc>
      </w:tr>
      <w:tr w:rsidR="006174B9">
        <w:trPr>
          <w:trHeight w:val="270"/>
          <w:jc w:val="center"/>
        </w:trPr>
        <w:tc>
          <w:tcPr>
            <w:tcW w:w="1216" w:type="dxa"/>
            <w:tcBorders>
              <w:top w:val="nil"/>
              <w:left w:val="single" w:sz="4" w:space="0" w:color="auto"/>
              <w:bottom w:val="single" w:sz="4" w:space="0" w:color="auto"/>
              <w:right w:val="single" w:sz="4" w:space="0" w:color="auto"/>
            </w:tcBorders>
            <w:shd w:val="clear" w:color="auto" w:fill="auto"/>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2807.53</w:t>
            </w:r>
          </w:p>
        </w:tc>
        <w:tc>
          <w:tcPr>
            <w:tcW w:w="1360" w:type="dxa"/>
            <w:tcBorders>
              <w:top w:val="single" w:sz="4" w:space="0" w:color="auto"/>
              <w:left w:val="nil"/>
              <w:bottom w:val="single" w:sz="4" w:space="0" w:color="auto"/>
              <w:right w:val="single" w:sz="4" w:space="0" w:color="auto"/>
            </w:tcBorders>
            <w:shd w:val="clear" w:color="auto" w:fill="auto"/>
            <w:vAlign w:val="center"/>
          </w:tcPr>
          <w:p w:rsidR="006174B9" w:rsidRDefault="006174B9">
            <w:pPr>
              <w:jc w:val="right"/>
              <w:rPr>
                <w:rFonts w:ascii="Times New Roman" w:hAnsi="Times New Roman" w:cs="Times New Roman"/>
                <w:sz w:val="20"/>
                <w:szCs w:val="20"/>
              </w:rPr>
            </w:pPr>
          </w:p>
        </w:tc>
        <w:tc>
          <w:tcPr>
            <w:tcW w:w="1220" w:type="dxa"/>
            <w:tcBorders>
              <w:top w:val="nil"/>
              <w:left w:val="nil"/>
              <w:bottom w:val="single" w:sz="4" w:space="0" w:color="auto"/>
              <w:right w:val="single" w:sz="4" w:space="0" w:color="auto"/>
            </w:tcBorders>
            <w:shd w:val="clear" w:color="auto" w:fill="auto"/>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374.00</w:t>
            </w:r>
          </w:p>
        </w:tc>
        <w:tc>
          <w:tcPr>
            <w:tcW w:w="880" w:type="dxa"/>
            <w:tcBorders>
              <w:top w:val="nil"/>
              <w:left w:val="nil"/>
              <w:bottom w:val="single" w:sz="4" w:space="0" w:color="auto"/>
              <w:right w:val="single" w:sz="4" w:space="0" w:color="auto"/>
            </w:tcBorders>
            <w:shd w:val="clear" w:color="auto" w:fill="auto"/>
            <w:vAlign w:val="center"/>
          </w:tcPr>
          <w:p w:rsidR="006174B9" w:rsidRDefault="006174B9">
            <w:pPr>
              <w:jc w:val="right"/>
              <w:rPr>
                <w:rFonts w:ascii="Times New Roman" w:hAnsi="Times New Roman" w:cs="Times New Roman"/>
                <w:sz w:val="20"/>
                <w:szCs w:val="20"/>
              </w:rPr>
            </w:pPr>
          </w:p>
        </w:tc>
        <w:tc>
          <w:tcPr>
            <w:tcW w:w="880" w:type="dxa"/>
            <w:tcBorders>
              <w:top w:val="nil"/>
              <w:left w:val="nil"/>
              <w:bottom w:val="single" w:sz="4" w:space="0" w:color="auto"/>
              <w:right w:val="single" w:sz="4" w:space="0" w:color="auto"/>
            </w:tcBorders>
            <w:shd w:val="clear" w:color="auto" w:fill="auto"/>
            <w:vAlign w:val="center"/>
          </w:tcPr>
          <w:p w:rsidR="006174B9" w:rsidRDefault="006174B9">
            <w:pPr>
              <w:widowControl/>
              <w:jc w:val="right"/>
              <w:rPr>
                <w:rFonts w:ascii="Times New Roman" w:hAnsi="Times New Roman" w:cs="Times New Roman"/>
                <w:sz w:val="20"/>
                <w:szCs w:val="20"/>
              </w:rPr>
            </w:pPr>
          </w:p>
        </w:tc>
        <w:tc>
          <w:tcPr>
            <w:tcW w:w="1116" w:type="dxa"/>
            <w:tcBorders>
              <w:top w:val="nil"/>
              <w:left w:val="nil"/>
              <w:bottom w:val="single" w:sz="4" w:space="0" w:color="auto"/>
              <w:right w:val="single" w:sz="4" w:space="0" w:color="auto"/>
            </w:tcBorders>
            <w:shd w:val="clear" w:color="auto" w:fill="auto"/>
            <w:vAlign w:val="center"/>
          </w:tcPr>
          <w:p w:rsidR="006174B9" w:rsidRDefault="005B2F69">
            <w:pPr>
              <w:widowControl/>
              <w:jc w:val="right"/>
              <w:rPr>
                <w:rFonts w:ascii="Times New Roman" w:hAnsi="Times New Roman" w:cs="Times New Roman"/>
                <w:sz w:val="20"/>
                <w:szCs w:val="20"/>
              </w:rPr>
            </w:pPr>
            <w:r>
              <w:rPr>
                <w:rFonts w:ascii="Times New Roman" w:hAnsi="Times New Roman" w:cs="Times New Roman"/>
                <w:sz w:val="20"/>
                <w:szCs w:val="20"/>
              </w:rPr>
              <w:t>600.00</w:t>
            </w:r>
          </w:p>
        </w:tc>
        <w:tc>
          <w:tcPr>
            <w:tcW w:w="1120" w:type="dxa"/>
            <w:tcBorders>
              <w:top w:val="single" w:sz="4" w:space="0" w:color="auto"/>
              <w:left w:val="nil"/>
              <w:bottom w:val="single" w:sz="4" w:space="0" w:color="auto"/>
              <w:right w:val="single" w:sz="4" w:space="0" w:color="auto"/>
            </w:tcBorders>
            <w:shd w:val="clear" w:color="auto" w:fill="auto"/>
            <w:vAlign w:val="center"/>
          </w:tcPr>
          <w:p w:rsidR="006174B9" w:rsidRDefault="006174B9">
            <w:pPr>
              <w:widowControl/>
              <w:jc w:val="right"/>
              <w:rPr>
                <w:rFonts w:ascii="Times New Roman" w:hAnsi="Times New Roman" w:cs="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vAlign w:val="center"/>
          </w:tcPr>
          <w:p w:rsidR="006174B9" w:rsidRDefault="006174B9">
            <w:pPr>
              <w:widowControl/>
              <w:jc w:val="right"/>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174B9" w:rsidRDefault="006174B9">
            <w:pPr>
              <w:widowControl/>
              <w:jc w:val="right"/>
              <w:rPr>
                <w:rFonts w:ascii="Times New Roman" w:hAnsi="Times New Roman" w:cs="Times New Roman"/>
                <w:sz w:val="20"/>
                <w:szCs w:val="20"/>
              </w:rPr>
            </w:pPr>
          </w:p>
        </w:tc>
        <w:tc>
          <w:tcPr>
            <w:tcW w:w="1087" w:type="dxa"/>
            <w:tcBorders>
              <w:top w:val="nil"/>
              <w:left w:val="nil"/>
              <w:bottom w:val="single" w:sz="4" w:space="0" w:color="auto"/>
              <w:right w:val="single" w:sz="4" w:space="0" w:color="auto"/>
            </w:tcBorders>
            <w:shd w:val="clear" w:color="auto" w:fill="auto"/>
            <w:vAlign w:val="center"/>
          </w:tcPr>
          <w:p w:rsidR="006174B9" w:rsidRDefault="006174B9">
            <w:pPr>
              <w:widowControl/>
              <w:jc w:val="right"/>
              <w:rPr>
                <w:rFonts w:ascii="Times New Roman" w:hAnsi="Times New Roman" w:cs="Times New Roman"/>
                <w:sz w:val="20"/>
                <w:szCs w:val="20"/>
              </w:rPr>
            </w:pPr>
          </w:p>
        </w:tc>
        <w:tc>
          <w:tcPr>
            <w:tcW w:w="1166" w:type="dxa"/>
            <w:tcBorders>
              <w:top w:val="nil"/>
              <w:left w:val="nil"/>
              <w:bottom w:val="single" w:sz="4" w:space="0" w:color="auto"/>
              <w:right w:val="single" w:sz="4" w:space="0" w:color="auto"/>
            </w:tcBorders>
            <w:shd w:val="clear" w:color="auto" w:fill="auto"/>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1633.53</w:t>
            </w:r>
          </w:p>
        </w:tc>
        <w:tc>
          <w:tcPr>
            <w:tcW w:w="1290" w:type="dxa"/>
            <w:tcBorders>
              <w:top w:val="nil"/>
              <w:left w:val="nil"/>
              <w:bottom w:val="single" w:sz="4" w:space="0" w:color="auto"/>
              <w:right w:val="single" w:sz="4" w:space="0" w:color="auto"/>
            </w:tcBorders>
            <w:shd w:val="clear" w:color="auto" w:fill="auto"/>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00.00</w:t>
            </w:r>
          </w:p>
        </w:tc>
      </w:tr>
    </w:tbl>
    <w:p w:rsidR="006174B9" w:rsidRDefault="006174B9">
      <w:pPr>
        <w:jc w:val="left"/>
        <w:rPr>
          <w:rFonts w:ascii="Times New Roman" w:eastAsia="方正仿宋_GBK" w:hAnsi="Times New Roman"/>
          <w:sz w:val="32"/>
          <w:szCs w:val="32"/>
        </w:rPr>
      </w:pPr>
    </w:p>
    <w:p w:rsidR="006174B9" w:rsidRDefault="006174B9">
      <w:pPr>
        <w:jc w:val="center"/>
        <w:rPr>
          <w:rFonts w:ascii="Times New Roman" w:eastAsia="方正仿宋_GBK" w:hAnsi="Times New Roman"/>
          <w:sz w:val="32"/>
          <w:szCs w:val="32"/>
        </w:rPr>
      </w:pPr>
    </w:p>
    <w:p w:rsidR="006174B9" w:rsidRDefault="006174B9">
      <w:pPr>
        <w:jc w:val="center"/>
        <w:rPr>
          <w:rFonts w:ascii="Times New Roman" w:eastAsia="方正仿宋_GBK" w:hAnsi="Times New Roman"/>
          <w:sz w:val="32"/>
          <w:szCs w:val="32"/>
        </w:rPr>
      </w:pPr>
    </w:p>
    <w:p w:rsidR="006174B9" w:rsidRDefault="006174B9">
      <w:pPr>
        <w:jc w:val="center"/>
        <w:rPr>
          <w:rFonts w:ascii="Times New Roman" w:eastAsia="方正仿宋_GBK" w:hAnsi="Times New Roman"/>
          <w:sz w:val="32"/>
          <w:szCs w:val="32"/>
        </w:rPr>
      </w:pPr>
    </w:p>
    <w:p w:rsidR="006174B9" w:rsidRDefault="006174B9">
      <w:pPr>
        <w:jc w:val="center"/>
        <w:rPr>
          <w:rFonts w:ascii="Times New Roman" w:eastAsia="方正仿宋_GBK" w:hAnsi="Times New Roman"/>
          <w:sz w:val="32"/>
          <w:szCs w:val="32"/>
        </w:rPr>
      </w:pPr>
    </w:p>
    <w:p w:rsidR="006174B9" w:rsidRDefault="006174B9">
      <w:pPr>
        <w:jc w:val="center"/>
        <w:rPr>
          <w:rFonts w:ascii="Times New Roman" w:eastAsia="方正仿宋_GBK" w:hAnsi="Times New Roman"/>
          <w:sz w:val="32"/>
          <w:szCs w:val="32"/>
        </w:rPr>
      </w:pPr>
    </w:p>
    <w:p w:rsidR="006174B9" w:rsidRDefault="006174B9">
      <w:pPr>
        <w:jc w:val="center"/>
        <w:rPr>
          <w:rFonts w:ascii="Times New Roman" w:eastAsia="方正仿宋_GBK" w:hAnsi="Times New Roman"/>
          <w:sz w:val="32"/>
          <w:szCs w:val="32"/>
        </w:rPr>
      </w:pPr>
    </w:p>
    <w:p w:rsidR="006174B9" w:rsidRDefault="006174B9">
      <w:pPr>
        <w:rPr>
          <w:rFonts w:ascii="Times New Roman" w:eastAsia="方正仿宋_GBK" w:hAnsi="Times New Roman"/>
          <w:sz w:val="32"/>
          <w:szCs w:val="32"/>
        </w:rPr>
        <w:sectPr w:rsidR="006174B9">
          <w:pgSz w:w="16838" w:h="11906" w:orient="landscape"/>
          <w:pgMar w:top="1800" w:right="1440" w:bottom="1800" w:left="1440" w:header="851" w:footer="992" w:gutter="0"/>
          <w:cols w:space="720"/>
          <w:docGrid w:type="lines" w:linePitch="312"/>
        </w:sectPr>
      </w:pPr>
    </w:p>
    <w:tbl>
      <w:tblPr>
        <w:tblW w:w="10484" w:type="dxa"/>
        <w:jc w:val="center"/>
        <w:tblLook w:val="04A0" w:firstRow="1" w:lastRow="0" w:firstColumn="1" w:lastColumn="0" w:noHBand="0" w:noVBand="1"/>
      </w:tblPr>
      <w:tblGrid>
        <w:gridCol w:w="1119"/>
        <w:gridCol w:w="2126"/>
        <w:gridCol w:w="1332"/>
        <w:gridCol w:w="1332"/>
        <w:gridCol w:w="1173"/>
        <w:gridCol w:w="993"/>
        <w:gridCol w:w="1134"/>
        <w:gridCol w:w="1275"/>
      </w:tblGrid>
      <w:tr w:rsidR="006174B9">
        <w:trPr>
          <w:trHeight w:val="319"/>
          <w:jc w:val="center"/>
        </w:trPr>
        <w:tc>
          <w:tcPr>
            <w:tcW w:w="10484" w:type="dxa"/>
            <w:gridSpan w:val="8"/>
            <w:tcBorders>
              <w:top w:val="nil"/>
              <w:left w:val="nil"/>
              <w:bottom w:val="nil"/>
              <w:right w:val="nil"/>
            </w:tcBorders>
            <w:shd w:val="clear" w:color="auto" w:fill="auto"/>
            <w:noWrap/>
            <w:vAlign w:val="center"/>
          </w:tcPr>
          <w:p w:rsidR="006174B9" w:rsidRDefault="005B2F69">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lastRenderedPageBreak/>
              <w:t xml:space="preserve"> </w:t>
            </w: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 xml:space="preserve">3 </w:t>
            </w:r>
          </w:p>
        </w:tc>
      </w:tr>
      <w:tr w:rsidR="006174B9">
        <w:trPr>
          <w:trHeight w:val="540"/>
          <w:jc w:val="center"/>
        </w:trPr>
        <w:tc>
          <w:tcPr>
            <w:tcW w:w="10484" w:type="dxa"/>
            <w:gridSpan w:val="8"/>
            <w:tcBorders>
              <w:top w:val="nil"/>
              <w:left w:val="nil"/>
              <w:bottom w:val="nil"/>
              <w:right w:val="nil"/>
            </w:tcBorders>
            <w:shd w:val="clear" w:color="auto" w:fill="auto"/>
            <w:noWrap/>
            <w:vAlign w:val="center"/>
          </w:tcPr>
          <w:p w:rsidR="006174B9" w:rsidRDefault="005B2F69">
            <w:pPr>
              <w:widowControl/>
              <w:jc w:val="center"/>
              <w:rPr>
                <w:rFonts w:ascii="Times New Roman" w:hAnsi="Times New Roman" w:cs="宋体"/>
                <w:color w:val="000000"/>
                <w:kern w:val="0"/>
                <w:sz w:val="36"/>
                <w:szCs w:val="36"/>
              </w:rPr>
            </w:pPr>
            <w:r>
              <w:rPr>
                <w:rFonts w:ascii="Times New Roman" w:hAnsi="Times New Roman" w:cs="宋体" w:hint="eastAsia"/>
                <w:color w:val="000000"/>
                <w:kern w:val="0"/>
                <w:sz w:val="36"/>
                <w:szCs w:val="36"/>
              </w:rPr>
              <w:t xml:space="preserve"> </w:t>
            </w:r>
            <w:r>
              <w:rPr>
                <w:rFonts w:ascii="Times New Roman" w:hAnsi="Times New Roman" w:cs="宋体" w:hint="eastAsia"/>
                <w:color w:val="000000"/>
                <w:kern w:val="0"/>
                <w:sz w:val="36"/>
                <w:szCs w:val="36"/>
              </w:rPr>
              <w:t>部门支出总表</w:t>
            </w:r>
            <w:r>
              <w:rPr>
                <w:rFonts w:ascii="Times New Roman" w:hAnsi="Times New Roman" w:cs="宋体" w:hint="eastAsia"/>
                <w:color w:val="000000"/>
                <w:kern w:val="0"/>
                <w:sz w:val="36"/>
                <w:szCs w:val="36"/>
              </w:rPr>
              <w:t xml:space="preserve"> </w:t>
            </w:r>
          </w:p>
        </w:tc>
      </w:tr>
      <w:tr w:rsidR="006174B9">
        <w:trPr>
          <w:trHeight w:val="360"/>
          <w:jc w:val="center"/>
        </w:trPr>
        <w:tc>
          <w:tcPr>
            <w:tcW w:w="1119" w:type="dxa"/>
            <w:tcBorders>
              <w:top w:val="nil"/>
              <w:left w:val="nil"/>
              <w:bottom w:val="nil"/>
              <w:right w:val="nil"/>
            </w:tcBorders>
            <w:shd w:val="clear" w:color="auto" w:fill="auto"/>
            <w:noWrap/>
            <w:vAlign w:val="center"/>
          </w:tcPr>
          <w:p w:rsidR="006174B9" w:rsidRDefault="006174B9">
            <w:pPr>
              <w:widowControl/>
              <w:jc w:val="center"/>
              <w:rPr>
                <w:rFonts w:ascii="Times New Roman" w:hAnsi="Times New Roman" w:cs="宋体"/>
                <w:color w:val="000000"/>
                <w:kern w:val="0"/>
                <w:sz w:val="36"/>
                <w:szCs w:val="36"/>
              </w:rPr>
            </w:pPr>
          </w:p>
        </w:tc>
        <w:tc>
          <w:tcPr>
            <w:tcW w:w="2126"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1332"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1332"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1173"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402" w:type="dxa"/>
            <w:gridSpan w:val="3"/>
            <w:tcBorders>
              <w:top w:val="nil"/>
              <w:left w:val="nil"/>
              <w:bottom w:val="single" w:sz="4" w:space="0" w:color="auto"/>
              <w:right w:val="nil"/>
            </w:tcBorders>
            <w:shd w:val="clear" w:color="auto" w:fill="auto"/>
            <w:noWrap/>
            <w:vAlign w:val="center"/>
          </w:tcPr>
          <w:p w:rsidR="006174B9" w:rsidRDefault="005B2F69">
            <w:pPr>
              <w:widowControl/>
              <w:jc w:val="right"/>
              <w:rPr>
                <w:rFonts w:ascii="Times New Roman" w:hAnsi="Times New Roman" w:cs="宋体"/>
                <w:color w:val="000000"/>
                <w:kern w:val="0"/>
                <w:sz w:val="18"/>
                <w:szCs w:val="18"/>
              </w:rPr>
            </w:pPr>
            <w:r>
              <w:rPr>
                <w:rFonts w:ascii="Times New Roman" w:hAnsi="Times New Roman" w:cs="宋体" w:hint="eastAsia"/>
                <w:color w:val="000000"/>
                <w:kern w:val="0"/>
                <w:sz w:val="18"/>
                <w:szCs w:val="18"/>
              </w:rPr>
              <w:t>单位：万元</w:t>
            </w:r>
            <w:r>
              <w:rPr>
                <w:rFonts w:ascii="Times New Roman" w:hAnsi="Times New Roman" w:cs="宋体" w:hint="eastAsia"/>
                <w:color w:val="000000"/>
                <w:kern w:val="0"/>
                <w:sz w:val="18"/>
                <w:szCs w:val="18"/>
              </w:rPr>
              <w:t xml:space="preserve"> </w:t>
            </w:r>
          </w:p>
        </w:tc>
      </w:tr>
      <w:tr w:rsidR="006174B9">
        <w:trPr>
          <w:trHeight w:val="540"/>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科目代码</w:t>
            </w:r>
            <w:r>
              <w:rPr>
                <w:rFonts w:ascii="Times New Roman" w:hAnsi="Times New Roman" w:cs="宋体" w:hint="eastAsia"/>
                <w:color w:val="000000"/>
                <w:kern w:val="0"/>
                <w:sz w:val="20"/>
                <w:szCs w:val="20"/>
              </w:rPr>
              <w:t xml:space="preserve"> </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科目名称</w:t>
            </w:r>
            <w:r>
              <w:rPr>
                <w:rFonts w:ascii="Times New Roman" w:hAnsi="Times New Roman" w:cs="宋体" w:hint="eastAsia"/>
                <w:color w:val="000000"/>
                <w:kern w:val="0"/>
                <w:sz w:val="20"/>
                <w:szCs w:val="20"/>
              </w:rPr>
              <w:t xml:space="preserve"> </w:t>
            </w:r>
          </w:p>
        </w:tc>
        <w:tc>
          <w:tcPr>
            <w:tcW w:w="1332"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合计</w:t>
            </w:r>
            <w:r>
              <w:rPr>
                <w:rFonts w:ascii="Times New Roman" w:hAnsi="Times New Roman" w:cs="宋体" w:hint="eastAsia"/>
                <w:color w:val="000000"/>
                <w:kern w:val="0"/>
                <w:sz w:val="20"/>
                <w:szCs w:val="20"/>
              </w:rPr>
              <w:t xml:space="preserve"> </w:t>
            </w:r>
          </w:p>
        </w:tc>
        <w:tc>
          <w:tcPr>
            <w:tcW w:w="1332"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基本支出</w:t>
            </w:r>
            <w:r>
              <w:rPr>
                <w:rFonts w:ascii="Times New Roman" w:hAnsi="Times New Roman" w:cs="宋体" w:hint="eastAsia"/>
                <w:color w:val="000000"/>
                <w:kern w:val="0"/>
                <w:sz w:val="20"/>
                <w:szCs w:val="20"/>
              </w:rPr>
              <w:t xml:space="preserve"> </w:t>
            </w:r>
          </w:p>
        </w:tc>
        <w:tc>
          <w:tcPr>
            <w:tcW w:w="1173"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项目支出</w:t>
            </w:r>
            <w:r>
              <w:rPr>
                <w:rFonts w:ascii="Times New Roman" w:hAnsi="Times New Roman" w:cs="宋体" w:hint="eastAsia"/>
                <w:color w:val="000000"/>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上缴上级支出</w:t>
            </w:r>
            <w:r>
              <w:rPr>
                <w:rFonts w:ascii="Times New Roman" w:hAnsi="Times New Roman"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事业单位经营支出</w:t>
            </w:r>
            <w:r>
              <w:rPr>
                <w:rFonts w:ascii="Times New Roman" w:hAnsi="Times New Roman" w:cs="宋体" w:hint="eastAsia"/>
                <w:color w:val="000000"/>
                <w:kern w:val="0"/>
                <w:sz w:val="20"/>
                <w:szCs w:val="20"/>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对附属单位补助支出</w:t>
            </w:r>
            <w:r>
              <w:rPr>
                <w:rFonts w:ascii="Times New Roman" w:hAnsi="Times New Roman" w:cs="宋体" w:hint="eastAsia"/>
                <w:color w:val="000000"/>
                <w:kern w:val="0"/>
                <w:sz w:val="20"/>
                <w:szCs w:val="20"/>
              </w:rPr>
              <w:t xml:space="preserve"> </w:t>
            </w:r>
          </w:p>
        </w:tc>
      </w:tr>
      <w:tr w:rsidR="006174B9">
        <w:trPr>
          <w:trHeight w:val="355"/>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宋体"/>
                <w:b/>
                <w:bCs/>
                <w:color w:val="000000"/>
                <w:kern w:val="0"/>
                <w:sz w:val="20"/>
                <w:szCs w:val="20"/>
              </w:rPr>
            </w:pP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b/>
                <w:bCs/>
                <w:color w:val="000000"/>
                <w:kern w:val="0"/>
                <w:sz w:val="15"/>
                <w:szCs w:val="15"/>
              </w:rPr>
            </w:pPr>
            <w:r>
              <w:rPr>
                <w:rFonts w:ascii="Times New Roman" w:hAnsi="Times New Roman" w:cs="宋体" w:hint="eastAsia"/>
                <w:b/>
                <w:bCs/>
                <w:color w:val="000000"/>
                <w:kern w:val="0"/>
                <w:sz w:val="15"/>
                <w:szCs w:val="15"/>
              </w:rPr>
              <w:t>昆山海关综合技术服务中心</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2807.53</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2804.53</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hint="eastAsia"/>
                <w:b/>
                <w:sz w:val="20"/>
                <w:szCs w:val="20"/>
              </w:rPr>
              <w:t>3.00</w:t>
            </w: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r>
      <w:tr w:rsidR="006174B9">
        <w:trPr>
          <w:trHeight w:val="355"/>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一般公共服务支出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2144.77</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2144.77</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3.00</w:t>
            </w: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r>
      <w:tr w:rsidR="006174B9">
        <w:trPr>
          <w:trHeight w:val="355"/>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20109</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海关事务</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2144.77</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b/>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hint="eastAsia"/>
                <w:b/>
                <w:sz w:val="20"/>
                <w:szCs w:val="20"/>
              </w:rPr>
              <w:t>3.00</w:t>
            </w: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2010901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行政运行</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2010902</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一般行政管理事务</w:t>
            </w:r>
          </w:p>
        </w:tc>
        <w:tc>
          <w:tcPr>
            <w:tcW w:w="1332"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2010903</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机关服务</w:t>
            </w:r>
          </w:p>
        </w:tc>
        <w:tc>
          <w:tcPr>
            <w:tcW w:w="1332"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2010905</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缉私办案</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2010907</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口岸管理</w:t>
            </w:r>
          </w:p>
        </w:tc>
        <w:tc>
          <w:tcPr>
            <w:tcW w:w="1332"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2010908</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信息化建设</w:t>
            </w:r>
          </w:p>
        </w:tc>
        <w:tc>
          <w:tcPr>
            <w:tcW w:w="1332"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2010909</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海关关务</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3</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 xml:space="preserve">　</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3</w:t>
            </w: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2010910</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关税征管</w:t>
            </w:r>
          </w:p>
        </w:tc>
        <w:tc>
          <w:tcPr>
            <w:tcW w:w="1332"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tcPr>
          <w:p w:rsidR="006174B9" w:rsidRDefault="006174B9">
            <w:pPr>
              <w:jc w:val="right"/>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2010911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海关监管</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2010912</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检验检疫</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2010950</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事业运行</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2141.77</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2141.77</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2010999</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其他海关事务支出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20111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纪检监察事务</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2011105</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派驻派出机构</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202</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外交支出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20203</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对外援助</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2020306</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对外援助</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20204</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国际组织</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2020401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国际组织会费</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2020402</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国际组织捐赠</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20205</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对外合作与交流</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2020599</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其他对外合作与交流支出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20299</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其他外交支出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2029999</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其他外交支出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204</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公共安全支出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20410</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缉私警察</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bCs/>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2041001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行政运行</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2041002</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一般行政管理事务</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lastRenderedPageBreak/>
              <w:t>科目代码</w:t>
            </w:r>
          </w:p>
        </w:tc>
        <w:tc>
          <w:tcPr>
            <w:tcW w:w="2126" w:type="dxa"/>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科目名称</w:t>
            </w:r>
          </w:p>
        </w:tc>
        <w:tc>
          <w:tcPr>
            <w:tcW w:w="1332"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color w:val="000000"/>
                <w:kern w:val="0"/>
                <w:sz w:val="20"/>
                <w:szCs w:val="20"/>
              </w:rPr>
            </w:pPr>
            <w:r>
              <w:rPr>
                <w:rFonts w:ascii="Times New Roman" w:hAnsi="Times New Roman" w:cs="宋体" w:hint="eastAsia"/>
                <w:color w:val="000000"/>
                <w:kern w:val="0"/>
                <w:sz w:val="20"/>
                <w:szCs w:val="20"/>
              </w:rPr>
              <w:t>合计</w:t>
            </w:r>
          </w:p>
        </w:tc>
        <w:tc>
          <w:tcPr>
            <w:tcW w:w="1332"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color w:val="000000"/>
                <w:kern w:val="0"/>
                <w:sz w:val="20"/>
                <w:szCs w:val="20"/>
              </w:rPr>
            </w:pPr>
            <w:r>
              <w:rPr>
                <w:rFonts w:ascii="Times New Roman" w:hAnsi="Times New Roman" w:cs="宋体" w:hint="eastAsia"/>
                <w:color w:val="000000"/>
                <w:kern w:val="0"/>
                <w:sz w:val="20"/>
                <w:szCs w:val="20"/>
              </w:rPr>
              <w:t>基本支出</w:t>
            </w:r>
          </w:p>
        </w:tc>
        <w:tc>
          <w:tcPr>
            <w:tcW w:w="1173"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项目支出</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上缴上级支出</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事业单位经营支出</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对附属单位补助支出</w:t>
            </w: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2041006</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信息化建设</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2041007</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缉私业务</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2041099</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其他缉私警察支出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205</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教育支出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20502</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普通教育</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2050205</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高等教育</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208</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社会保障和就业支出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233.01</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233.01</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宋体" w:cs="宋体"/>
                <w:sz w:val="16"/>
                <w:szCs w:val="16"/>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20805</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行政事业单位养老支出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233.01</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233.01</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宋体" w:cs="宋体"/>
                <w:sz w:val="16"/>
                <w:szCs w:val="16"/>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2080501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行政单位离退休</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2080502</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事业单位离退休</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11.02</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11.02</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2080503</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离退休人员管理机构</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2080505</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机关事业单位基本养老保险缴费支出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150.00</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150.00</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2080506</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机关事业单位职业年金缴费支出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71.99</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71.99</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20899</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其他社会保障和就业支出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2089901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其他社会保障和就业支出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2089999</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其他社会保障和就业支出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210</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卫生健康支出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7.44</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7.44</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21011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行政事业单位医疗</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7.44</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7.44</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2101101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行政单位医疗</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宋体" w:cs="宋体"/>
                <w:sz w:val="16"/>
                <w:szCs w:val="16"/>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宋体" w:cs="宋体"/>
                <w:sz w:val="16"/>
                <w:szCs w:val="16"/>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2101102</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事业单位医疗</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5.00</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5</w:t>
            </w:r>
            <w:r>
              <w:rPr>
                <w:rFonts w:ascii="Times New Roman" w:hAnsi="Times New Roman" w:cs="Times New Roman"/>
                <w:sz w:val="20"/>
                <w:szCs w:val="20"/>
              </w:rPr>
              <w:t>.</w:t>
            </w:r>
            <w:r>
              <w:rPr>
                <w:rFonts w:ascii="Times New Roman" w:hAnsi="Times New Roman" w:cs="Times New Roman" w:hint="eastAsia"/>
                <w:sz w:val="20"/>
                <w:szCs w:val="20"/>
              </w:rPr>
              <w:t>00</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2101103</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公务员医疗补助</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2101199</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其他行政事业单位医疗支出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2.44</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2.44</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221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住房保障支出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422.31</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hint="eastAsia"/>
                <w:b/>
                <w:sz w:val="20"/>
                <w:szCs w:val="20"/>
              </w:rPr>
              <w:t>4</w:t>
            </w:r>
            <w:r>
              <w:rPr>
                <w:rFonts w:ascii="Times New Roman" w:hAnsi="Times New Roman" w:cs="Times New Roman"/>
                <w:b/>
                <w:sz w:val="20"/>
                <w:szCs w:val="20"/>
              </w:rPr>
              <w:t>22.31</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22102</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住房改革支出</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422.31</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422.31</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2210201</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住房公积金</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127.40</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127.40</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2210202</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提租补贴</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33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2210203</w:t>
            </w:r>
          </w:p>
        </w:tc>
        <w:tc>
          <w:tcPr>
            <w:tcW w:w="2126" w:type="dxa"/>
            <w:tcBorders>
              <w:top w:val="nil"/>
              <w:left w:val="nil"/>
              <w:bottom w:val="single" w:sz="4" w:space="0" w:color="auto"/>
              <w:right w:val="single" w:sz="4" w:space="0" w:color="auto"/>
            </w:tcBorders>
            <w:shd w:val="clear" w:color="auto" w:fill="auto"/>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购房补贴</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294.91</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294.91</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color w:val="000000"/>
                <w:kern w:val="0"/>
                <w:sz w:val="20"/>
                <w:szCs w:val="20"/>
              </w:rPr>
            </w:pPr>
          </w:p>
        </w:tc>
      </w:tr>
      <w:tr w:rsidR="006174B9">
        <w:trPr>
          <w:trHeight w:val="360"/>
          <w:jc w:val="center"/>
        </w:trPr>
        <w:tc>
          <w:tcPr>
            <w:tcW w:w="3245" w:type="dxa"/>
            <w:gridSpan w:val="2"/>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合</w:t>
            </w:r>
            <w:r>
              <w:rPr>
                <w:rFonts w:ascii="Times New Roman" w:hAnsi="Times New Roman" w:cs="宋体" w:hint="eastAsia"/>
                <w:b/>
                <w:color w:val="000000"/>
                <w:kern w:val="0"/>
                <w:sz w:val="20"/>
                <w:szCs w:val="20"/>
              </w:rPr>
              <w:t xml:space="preserve">      </w:t>
            </w:r>
            <w:r>
              <w:rPr>
                <w:rFonts w:ascii="Times New Roman" w:hAnsi="Times New Roman" w:cs="宋体" w:hint="eastAsia"/>
                <w:b/>
                <w:color w:val="000000"/>
                <w:kern w:val="0"/>
                <w:sz w:val="20"/>
                <w:szCs w:val="20"/>
              </w:rPr>
              <w:t>计</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2807.53</w:t>
            </w:r>
          </w:p>
        </w:tc>
        <w:tc>
          <w:tcPr>
            <w:tcW w:w="133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hint="eastAsia"/>
                <w:b/>
                <w:sz w:val="20"/>
                <w:szCs w:val="20"/>
              </w:rPr>
              <w:t>2</w:t>
            </w:r>
            <w:r>
              <w:rPr>
                <w:rFonts w:ascii="Times New Roman" w:hAnsi="Times New Roman" w:cs="Times New Roman"/>
                <w:b/>
                <w:sz w:val="20"/>
                <w:szCs w:val="20"/>
              </w:rPr>
              <w:t>804.53</w:t>
            </w:r>
          </w:p>
        </w:tc>
        <w:tc>
          <w:tcPr>
            <w:tcW w:w="1173"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hint="eastAsia"/>
                <w:b/>
                <w:sz w:val="20"/>
                <w:szCs w:val="20"/>
              </w:rPr>
              <w:t>3.00</w:t>
            </w:r>
          </w:p>
        </w:tc>
        <w:tc>
          <w:tcPr>
            <w:tcW w:w="9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Times New Roman"/>
                <w:b/>
                <w:color w:val="000000"/>
                <w:kern w:val="0"/>
                <w:sz w:val="20"/>
                <w:szCs w:val="20"/>
              </w:rPr>
            </w:pPr>
          </w:p>
        </w:tc>
      </w:tr>
    </w:tbl>
    <w:p w:rsidR="006174B9" w:rsidRDefault="006174B9">
      <w:pPr>
        <w:jc w:val="left"/>
        <w:rPr>
          <w:rFonts w:ascii="Times New Roman" w:eastAsia="方正仿宋_GBK" w:hAnsi="Times New Roman"/>
          <w:sz w:val="32"/>
          <w:szCs w:val="32"/>
        </w:rPr>
        <w:sectPr w:rsidR="006174B9">
          <w:pgSz w:w="11906" w:h="16838"/>
          <w:pgMar w:top="1440" w:right="1800" w:bottom="1440" w:left="1800" w:header="851" w:footer="992" w:gutter="0"/>
          <w:cols w:space="720"/>
          <w:docGrid w:type="lines" w:linePitch="312"/>
        </w:sectPr>
      </w:pPr>
    </w:p>
    <w:tbl>
      <w:tblPr>
        <w:tblW w:w="13892" w:type="dxa"/>
        <w:jc w:val="center"/>
        <w:tblLook w:val="04A0" w:firstRow="1" w:lastRow="0" w:firstColumn="1" w:lastColumn="0" w:noHBand="0" w:noVBand="1"/>
      </w:tblPr>
      <w:tblGrid>
        <w:gridCol w:w="4253"/>
        <w:gridCol w:w="2693"/>
        <w:gridCol w:w="4253"/>
        <w:gridCol w:w="2693"/>
      </w:tblGrid>
      <w:tr w:rsidR="006174B9">
        <w:trPr>
          <w:trHeight w:val="319"/>
          <w:jc w:val="center"/>
        </w:trPr>
        <w:tc>
          <w:tcPr>
            <w:tcW w:w="11199" w:type="dxa"/>
            <w:gridSpan w:val="3"/>
            <w:tcBorders>
              <w:top w:val="nil"/>
              <w:left w:val="nil"/>
              <w:bottom w:val="nil"/>
              <w:right w:val="nil"/>
            </w:tcBorders>
            <w:shd w:val="clear" w:color="auto" w:fill="auto"/>
            <w:noWrap/>
            <w:vAlign w:val="center"/>
          </w:tcPr>
          <w:p w:rsidR="006174B9" w:rsidRDefault="006174B9">
            <w:pPr>
              <w:widowControl/>
              <w:jc w:val="left"/>
              <w:rPr>
                <w:rFonts w:ascii="Times New Roman" w:hAnsi="Times New Roman" w:cs="宋体"/>
                <w:kern w:val="0"/>
                <w:sz w:val="24"/>
                <w:szCs w:val="24"/>
              </w:rPr>
            </w:pPr>
          </w:p>
        </w:tc>
        <w:tc>
          <w:tcPr>
            <w:tcW w:w="2693" w:type="dxa"/>
            <w:tcBorders>
              <w:top w:val="nil"/>
              <w:left w:val="nil"/>
              <w:bottom w:val="nil"/>
              <w:right w:val="nil"/>
            </w:tcBorders>
            <w:shd w:val="clear" w:color="auto" w:fill="auto"/>
            <w:noWrap/>
            <w:vAlign w:val="center"/>
          </w:tcPr>
          <w:p w:rsidR="006174B9" w:rsidRDefault="005B2F69">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4</w:t>
            </w:r>
          </w:p>
        </w:tc>
      </w:tr>
      <w:tr w:rsidR="006174B9">
        <w:trPr>
          <w:trHeight w:val="540"/>
          <w:jc w:val="center"/>
        </w:trPr>
        <w:tc>
          <w:tcPr>
            <w:tcW w:w="13892" w:type="dxa"/>
            <w:gridSpan w:val="4"/>
            <w:tcBorders>
              <w:top w:val="nil"/>
              <w:left w:val="nil"/>
              <w:bottom w:val="nil"/>
              <w:right w:val="nil"/>
            </w:tcBorders>
            <w:shd w:val="clear" w:color="auto" w:fill="auto"/>
            <w:noWrap/>
            <w:vAlign w:val="center"/>
          </w:tcPr>
          <w:p w:rsidR="006174B9" w:rsidRDefault="005B2F69">
            <w:pPr>
              <w:widowControl/>
              <w:jc w:val="center"/>
              <w:rPr>
                <w:rFonts w:ascii="Times New Roman" w:hAnsi="Times New Roman" w:cs="宋体"/>
                <w:color w:val="000000"/>
                <w:kern w:val="0"/>
                <w:sz w:val="36"/>
                <w:szCs w:val="36"/>
              </w:rPr>
            </w:pPr>
            <w:r>
              <w:rPr>
                <w:rFonts w:ascii="Times New Roman" w:hAnsi="Times New Roman" w:cs="宋体" w:hint="eastAsia"/>
                <w:color w:val="000000"/>
                <w:kern w:val="0"/>
                <w:sz w:val="36"/>
                <w:szCs w:val="36"/>
              </w:rPr>
              <w:t>财政拨款收支总表</w:t>
            </w:r>
          </w:p>
        </w:tc>
      </w:tr>
      <w:tr w:rsidR="006174B9">
        <w:trPr>
          <w:trHeight w:val="360"/>
          <w:jc w:val="center"/>
        </w:trPr>
        <w:tc>
          <w:tcPr>
            <w:tcW w:w="4253"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4253"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693" w:type="dxa"/>
            <w:tcBorders>
              <w:top w:val="nil"/>
              <w:left w:val="nil"/>
              <w:bottom w:val="nil"/>
              <w:right w:val="nil"/>
            </w:tcBorders>
            <w:shd w:val="clear" w:color="auto" w:fill="auto"/>
            <w:noWrap/>
            <w:vAlign w:val="center"/>
          </w:tcPr>
          <w:p w:rsidR="006174B9" w:rsidRDefault="005B2F69">
            <w:pPr>
              <w:widowControl/>
              <w:jc w:val="right"/>
              <w:rPr>
                <w:rFonts w:ascii="Times New Roman" w:hAnsi="Times New Roman" w:cs="宋体"/>
                <w:color w:val="000000"/>
                <w:kern w:val="0"/>
                <w:sz w:val="18"/>
                <w:szCs w:val="18"/>
              </w:rPr>
            </w:pPr>
            <w:r>
              <w:rPr>
                <w:rFonts w:ascii="Times New Roman" w:hAnsi="Times New Roman" w:cs="宋体" w:hint="eastAsia"/>
                <w:color w:val="000000"/>
                <w:kern w:val="0"/>
                <w:sz w:val="18"/>
                <w:szCs w:val="18"/>
              </w:rPr>
              <w:t>单位：万元</w:t>
            </w:r>
          </w:p>
        </w:tc>
      </w:tr>
      <w:tr w:rsidR="006174B9">
        <w:trPr>
          <w:trHeight w:val="360"/>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收</w:t>
            </w:r>
            <w:r>
              <w:rPr>
                <w:rFonts w:ascii="Times New Roman" w:hAnsi="Times New Roman" w:cs="宋体" w:hint="eastAsia"/>
                <w:color w:val="000000"/>
                <w:kern w:val="0"/>
                <w:sz w:val="24"/>
                <w:szCs w:val="24"/>
              </w:rPr>
              <w:t xml:space="preserve">      </w:t>
            </w:r>
            <w:r>
              <w:rPr>
                <w:rFonts w:ascii="Times New Roman" w:hAnsi="Times New Roman" w:cs="宋体" w:hint="eastAsia"/>
                <w:color w:val="000000"/>
                <w:kern w:val="0"/>
                <w:sz w:val="24"/>
                <w:szCs w:val="24"/>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支</w:t>
            </w:r>
            <w:r>
              <w:rPr>
                <w:rFonts w:ascii="Times New Roman" w:hAnsi="Times New Roman" w:cs="宋体" w:hint="eastAsia"/>
                <w:color w:val="000000"/>
                <w:kern w:val="0"/>
                <w:sz w:val="24"/>
                <w:szCs w:val="24"/>
              </w:rPr>
              <w:t xml:space="preserve">      </w:t>
            </w:r>
            <w:r>
              <w:rPr>
                <w:rFonts w:ascii="Times New Roman" w:hAnsi="Times New Roman" w:cs="宋体" w:hint="eastAsia"/>
                <w:color w:val="000000"/>
                <w:kern w:val="0"/>
                <w:sz w:val="24"/>
                <w:szCs w:val="24"/>
              </w:rPr>
              <w:t>出</w:t>
            </w: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预算数</w:t>
            </w:r>
          </w:p>
        </w:tc>
        <w:tc>
          <w:tcPr>
            <w:tcW w:w="4253"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预算数</w:t>
            </w: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一、本年收入</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color w:val="000000"/>
                <w:sz w:val="20"/>
                <w:szCs w:val="20"/>
              </w:rPr>
            </w:pPr>
            <w:r>
              <w:rPr>
                <w:rFonts w:ascii="Times New Roman" w:hAnsi="Times New Roman" w:cs="Times New Roman"/>
                <w:color w:val="000000"/>
                <w:sz w:val="20"/>
                <w:szCs w:val="20"/>
              </w:rPr>
              <w:t>374.00</w:t>
            </w:r>
          </w:p>
        </w:tc>
        <w:tc>
          <w:tcPr>
            <w:tcW w:w="425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一、本年支出</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color w:val="000000"/>
                <w:sz w:val="20"/>
                <w:szCs w:val="20"/>
              </w:rPr>
            </w:pPr>
            <w:r>
              <w:rPr>
                <w:rFonts w:ascii="Times New Roman" w:hAnsi="Times New Roman" w:cs="Times New Roman"/>
                <w:color w:val="000000"/>
                <w:sz w:val="20"/>
                <w:szCs w:val="20"/>
              </w:rPr>
              <w:t>374.00</w:t>
            </w: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color w:val="000000"/>
                <w:sz w:val="20"/>
                <w:szCs w:val="20"/>
              </w:rPr>
            </w:pPr>
            <w:r>
              <w:rPr>
                <w:rFonts w:ascii="Times New Roman" w:hAnsi="Times New Roman" w:cs="Times New Roman"/>
                <w:color w:val="000000"/>
                <w:sz w:val="20"/>
                <w:szCs w:val="20"/>
              </w:rPr>
              <w:t>374.00</w:t>
            </w:r>
          </w:p>
        </w:tc>
        <w:tc>
          <w:tcPr>
            <w:tcW w:w="425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color w:val="000000"/>
                <w:sz w:val="20"/>
                <w:szCs w:val="20"/>
              </w:rPr>
            </w:pPr>
            <w:r>
              <w:rPr>
                <w:rFonts w:ascii="Times New Roman" w:hAnsi="Times New Roman" w:cs="Times New Roman"/>
                <w:color w:val="000000"/>
                <w:sz w:val="20"/>
                <w:szCs w:val="20"/>
              </w:rPr>
              <w:t>374.00</w:t>
            </w: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（二）外交支出</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（三）公共安全支出</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6174B9">
            <w:pPr>
              <w:widowControl/>
              <w:jc w:val="left"/>
              <w:rPr>
                <w:rFonts w:ascii="Times New Roman" w:hAnsi="Times New Roman"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（四）教育支出</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二、上年结转</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（五）社会保障和就业支出</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color w:val="000000"/>
                <w:sz w:val="20"/>
                <w:szCs w:val="20"/>
              </w:rPr>
            </w:pP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（六）卫生健康支出</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color w:val="000000"/>
                <w:sz w:val="20"/>
                <w:szCs w:val="20"/>
              </w:rPr>
            </w:pP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（七）住房保障支出</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color w:val="000000"/>
                <w:sz w:val="20"/>
                <w:szCs w:val="20"/>
              </w:rPr>
            </w:pP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宋体"/>
                <w:color w:val="000000"/>
                <w:kern w:val="0"/>
                <w:sz w:val="24"/>
                <w:szCs w:val="24"/>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r>
      <w:tr w:rsidR="006174B9">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收</w:t>
            </w:r>
            <w:r>
              <w:rPr>
                <w:rFonts w:ascii="Times New Roman" w:hAnsi="Times New Roman" w:cs="宋体" w:hint="eastAsia"/>
                <w:color w:val="000000"/>
                <w:kern w:val="0"/>
                <w:sz w:val="24"/>
                <w:szCs w:val="24"/>
              </w:rPr>
              <w:t xml:space="preserve">    </w:t>
            </w:r>
            <w:r>
              <w:rPr>
                <w:rFonts w:ascii="Times New Roman" w:hAnsi="Times New Roman" w:cs="宋体" w:hint="eastAsia"/>
                <w:color w:val="000000"/>
                <w:kern w:val="0"/>
                <w:sz w:val="24"/>
                <w:szCs w:val="24"/>
              </w:rPr>
              <w:t>入</w:t>
            </w:r>
            <w:r>
              <w:rPr>
                <w:rFonts w:ascii="Times New Roman" w:hAnsi="Times New Roman" w:cs="宋体" w:hint="eastAsia"/>
                <w:color w:val="000000"/>
                <w:kern w:val="0"/>
                <w:sz w:val="24"/>
                <w:szCs w:val="24"/>
              </w:rPr>
              <w:t xml:space="preserve">    </w:t>
            </w:r>
            <w:r>
              <w:rPr>
                <w:rFonts w:ascii="Times New Roman" w:hAnsi="Times New Roman" w:cs="宋体" w:hint="eastAsia"/>
                <w:color w:val="000000"/>
                <w:kern w:val="0"/>
                <w:sz w:val="24"/>
                <w:szCs w:val="24"/>
              </w:rPr>
              <w:t>总</w:t>
            </w:r>
            <w:r>
              <w:rPr>
                <w:rFonts w:ascii="Times New Roman" w:hAnsi="Times New Roman" w:cs="宋体" w:hint="eastAsia"/>
                <w:color w:val="000000"/>
                <w:kern w:val="0"/>
                <w:sz w:val="24"/>
                <w:szCs w:val="24"/>
              </w:rPr>
              <w:t xml:space="preserve">    </w:t>
            </w:r>
            <w:r>
              <w:rPr>
                <w:rFonts w:ascii="Times New Roman" w:hAnsi="Times New Roman" w:cs="宋体" w:hint="eastAsia"/>
                <w:color w:val="000000"/>
                <w:kern w:val="0"/>
                <w:sz w:val="24"/>
                <w:szCs w:val="24"/>
              </w:rPr>
              <w:t>计</w:t>
            </w:r>
          </w:p>
        </w:tc>
        <w:tc>
          <w:tcPr>
            <w:tcW w:w="269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20"/>
                <w:szCs w:val="20"/>
              </w:rPr>
            </w:pPr>
            <w:r>
              <w:rPr>
                <w:rFonts w:ascii="Times New Roman" w:hAnsi="Times New Roman" w:cs="Times New Roman"/>
                <w:color w:val="000000"/>
                <w:sz w:val="20"/>
                <w:szCs w:val="20"/>
              </w:rPr>
              <w:t>374</w:t>
            </w:r>
            <w:r>
              <w:rPr>
                <w:rFonts w:ascii="Times New Roman" w:hAnsi="Times New Roman" w:cs="Times New Roman" w:hint="eastAsia"/>
                <w:color w:val="000000"/>
                <w:sz w:val="20"/>
                <w:szCs w:val="20"/>
              </w:rPr>
              <w:t>.00</w:t>
            </w:r>
          </w:p>
        </w:tc>
        <w:tc>
          <w:tcPr>
            <w:tcW w:w="4253"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支</w:t>
            </w:r>
            <w:r>
              <w:rPr>
                <w:rFonts w:ascii="Times New Roman" w:hAnsi="Times New Roman" w:cs="宋体" w:hint="eastAsia"/>
                <w:color w:val="000000"/>
                <w:kern w:val="0"/>
                <w:sz w:val="24"/>
                <w:szCs w:val="24"/>
              </w:rPr>
              <w:t xml:space="preserve">    </w:t>
            </w:r>
            <w:r>
              <w:rPr>
                <w:rFonts w:ascii="Times New Roman" w:hAnsi="Times New Roman" w:cs="宋体" w:hint="eastAsia"/>
                <w:color w:val="000000"/>
                <w:kern w:val="0"/>
                <w:sz w:val="24"/>
                <w:szCs w:val="24"/>
              </w:rPr>
              <w:t>出</w:t>
            </w:r>
            <w:r>
              <w:rPr>
                <w:rFonts w:ascii="Times New Roman" w:hAnsi="Times New Roman" w:cs="宋体" w:hint="eastAsia"/>
                <w:color w:val="000000"/>
                <w:kern w:val="0"/>
                <w:sz w:val="24"/>
                <w:szCs w:val="24"/>
              </w:rPr>
              <w:t xml:space="preserve">    </w:t>
            </w:r>
            <w:r>
              <w:rPr>
                <w:rFonts w:ascii="Times New Roman" w:hAnsi="Times New Roman" w:cs="宋体" w:hint="eastAsia"/>
                <w:color w:val="000000"/>
                <w:kern w:val="0"/>
                <w:sz w:val="24"/>
                <w:szCs w:val="24"/>
              </w:rPr>
              <w:t>总</w:t>
            </w:r>
            <w:r>
              <w:rPr>
                <w:rFonts w:ascii="Times New Roman" w:hAnsi="Times New Roman" w:cs="宋体" w:hint="eastAsia"/>
                <w:color w:val="000000"/>
                <w:kern w:val="0"/>
                <w:sz w:val="24"/>
                <w:szCs w:val="24"/>
              </w:rPr>
              <w:t xml:space="preserve">    </w:t>
            </w:r>
            <w:r>
              <w:rPr>
                <w:rFonts w:ascii="Times New Roman" w:hAnsi="Times New Roman" w:cs="宋体" w:hint="eastAsia"/>
                <w:color w:val="000000"/>
                <w:kern w:val="0"/>
                <w:sz w:val="24"/>
                <w:szCs w:val="24"/>
              </w:rPr>
              <w:t>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20"/>
                <w:szCs w:val="20"/>
              </w:rPr>
            </w:pPr>
            <w:r>
              <w:rPr>
                <w:rFonts w:ascii="Times New Roman" w:hAnsi="Times New Roman" w:cs="Times New Roman"/>
                <w:color w:val="000000"/>
                <w:sz w:val="20"/>
                <w:szCs w:val="20"/>
              </w:rPr>
              <w:t>374.00</w:t>
            </w:r>
          </w:p>
        </w:tc>
      </w:tr>
    </w:tbl>
    <w:p w:rsidR="006174B9" w:rsidRDefault="006174B9">
      <w:pPr>
        <w:jc w:val="left"/>
        <w:rPr>
          <w:rFonts w:ascii="Times New Roman" w:eastAsia="方正仿宋_GBK" w:hAnsi="Times New Roman"/>
          <w:sz w:val="32"/>
          <w:szCs w:val="32"/>
        </w:rPr>
      </w:pPr>
    </w:p>
    <w:p w:rsidR="006174B9" w:rsidRDefault="005B2F69">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tblpPr w:leftFromText="181" w:rightFromText="181" w:horzAnchor="margin" w:tblpXSpec="center" w:tblpYSpec="center"/>
        <w:tblW w:w="15494" w:type="dxa"/>
        <w:tblLook w:val="04A0" w:firstRow="1" w:lastRow="0" w:firstColumn="1" w:lastColumn="0" w:noHBand="0" w:noVBand="1"/>
      </w:tblPr>
      <w:tblGrid>
        <w:gridCol w:w="962"/>
        <w:gridCol w:w="1873"/>
        <w:gridCol w:w="1056"/>
        <w:gridCol w:w="1630"/>
        <w:gridCol w:w="64"/>
        <w:gridCol w:w="1326"/>
        <w:gridCol w:w="1310"/>
        <w:gridCol w:w="1150"/>
        <w:gridCol w:w="1630"/>
        <w:gridCol w:w="1284"/>
        <w:gridCol w:w="964"/>
        <w:gridCol w:w="1216"/>
        <w:gridCol w:w="1029"/>
      </w:tblGrid>
      <w:tr w:rsidR="006174B9">
        <w:trPr>
          <w:trHeight w:val="285"/>
        </w:trPr>
        <w:tc>
          <w:tcPr>
            <w:tcW w:w="15494" w:type="dxa"/>
            <w:gridSpan w:val="13"/>
            <w:tcBorders>
              <w:top w:val="nil"/>
              <w:left w:val="nil"/>
              <w:bottom w:val="nil"/>
              <w:right w:val="nil"/>
            </w:tcBorders>
            <w:shd w:val="clear" w:color="auto" w:fill="auto"/>
            <w:vAlign w:val="center"/>
          </w:tcPr>
          <w:p w:rsidR="006174B9" w:rsidRDefault="005B2F69">
            <w:pPr>
              <w:widowControl/>
              <w:jc w:val="right"/>
              <w:rPr>
                <w:rFonts w:ascii="Times New Roman" w:hAnsi="Times New Roman" w:cs="宋体"/>
                <w:kern w:val="0"/>
                <w:sz w:val="36"/>
                <w:szCs w:val="36"/>
              </w:rPr>
            </w:pPr>
            <w:r>
              <w:rPr>
                <w:rFonts w:ascii="黑体" w:eastAsia="黑体" w:cs="黑体" w:hint="eastAsia"/>
                <w:kern w:val="0"/>
                <w:sz w:val="20"/>
                <w:szCs w:val="20"/>
              </w:rPr>
              <w:lastRenderedPageBreak/>
              <w:t>部门公开表</w:t>
            </w:r>
            <w:r>
              <w:rPr>
                <w:rFonts w:ascii="黑体" w:eastAsia="黑体" w:cs="黑体" w:hint="eastAsia"/>
                <w:kern w:val="0"/>
                <w:sz w:val="20"/>
                <w:szCs w:val="20"/>
              </w:rPr>
              <w:t>5</w:t>
            </w:r>
          </w:p>
        </w:tc>
      </w:tr>
      <w:tr w:rsidR="006174B9">
        <w:trPr>
          <w:trHeight w:val="285"/>
        </w:trPr>
        <w:tc>
          <w:tcPr>
            <w:tcW w:w="15494" w:type="dxa"/>
            <w:gridSpan w:val="13"/>
            <w:tcBorders>
              <w:top w:val="nil"/>
              <w:left w:val="nil"/>
              <w:bottom w:val="nil"/>
              <w:right w:val="nil"/>
            </w:tcBorders>
            <w:shd w:val="clear" w:color="auto" w:fill="auto"/>
            <w:vAlign w:val="center"/>
          </w:tcPr>
          <w:p w:rsidR="006174B9" w:rsidRDefault="005B2F69">
            <w:pPr>
              <w:widowControl/>
              <w:jc w:val="center"/>
              <w:rPr>
                <w:rFonts w:ascii="Times New Roman" w:hAnsi="Times New Roman" w:cs="宋体"/>
                <w:kern w:val="0"/>
                <w:sz w:val="36"/>
                <w:szCs w:val="36"/>
              </w:rPr>
            </w:pPr>
            <w:r>
              <w:rPr>
                <w:rFonts w:ascii="Times New Roman" w:hAnsi="Times New Roman" w:cs="宋体" w:hint="eastAsia"/>
                <w:kern w:val="0"/>
                <w:sz w:val="36"/>
                <w:szCs w:val="36"/>
              </w:rPr>
              <w:t>一般公共预算支出表</w:t>
            </w:r>
          </w:p>
        </w:tc>
      </w:tr>
      <w:tr w:rsidR="006174B9">
        <w:trPr>
          <w:trHeight w:val="255"/>
        </w:trPr>
        <w:tc>
          <w:tcPr>
            <w:tcW w:w="962"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873"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056"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630"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390" w:type="dxa"/>
            <w:gridSpan w:val="2"/>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310"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150"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630"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284"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964" w:type="dxa"/>
            <w:tcBorders>
              <w:top w:val="nil"/>
              <w:left w:val="nil"/>
              <w:bottom w:val="nil"/>
              <w:right w:val="nil"/>
            </w:tcBorders>
            <w:shd w:val="clear" w:color="auto" w:fill="auto"/>
            <w:noWrap/>
            <w:vAlign w:val="center"/>
          </w:tcPr>
          <w:p w:rsidR="006174B9" w:rsidRDefault="006174B9">
            <w:pPr>
              <w:widowControl/>
              <w:jc w:val="left"/>
              <w:rPr>
                <w:rFonts w:ascii="Times New Roman" w:hAnsi="Times New Roman" w:cs="宋体"/>
                <w:kern w:val="0"/>
                <w:sz w:val="16"/>
                <w:szCs w:val="16"/>
              </w:rPr>
            </w:pPr>
          </w:p>
        </w:tc>
        <w:tc>
          <w:tcPr>
            <w:tcW w:w="1216"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029" w:type="dxa"/>
            <w:tcBorders>
              <w:top w:val="nil"/>
              <w:left w:val="nil"/>
              <w:bottom w:val="nil"/>
              <w:right w:val="nil"/>
            </w:tcBorders>
            <w:shd w:val="clear" w:color="auto" w:fill="auto"/>
            <w:noWrap/>
            <w:vAlign w:val="center"/>
          </w:tcPr>
          <w:p w:rsidR="006174B9" w:rsidRDefault="005B2F69">
            <w:pPr>
              <w:widowControl/>
              <w:jc w:val="right"/>
              <w:rPr>
                <w:rFonts w:ascii="Times New Roman" w:hAnsi="Times New Roman" w:cs="宋体"/>
                <w:kern w:val="0"/>
                <w:sz w:val="16"/>
                <w:szCs w:val="16"/>
              </w:rPr>
            </w:pPr>
            <w:r>
              <w:rPr>
                <w:rFonts w:ascii="Times New Roman" w:hAnsi="Times New Roman" w:cs="宋体" w:hint="eastAsia"/>
                <w:kern w:val="0"/>
                <w:sz w:val="16"/>
                <w:szCs w:val="16"/>
              </w:rPr>
              <w:t>单位：万元</w:t>
            </w:r>
          </w:p>
        </w:tc>
      </w:tr>
      <w:tr w:rsidR="006174B9">
        <w:trPr>
          <w:trHeight w:val="255"/>
        </w:trPr>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功能分类科目</w:t>
            </w:r>
          </w:p>
        </w:tc>
        <w:tc>
          <w:tcPr>
            <w:tcW w:w="2686" w:type="dxa"/>
            <w:gridSpan w:val="2"/>
            <w:tcBorders>
              <w:top w:val="single" w:sz="4" w:space="0" w:color="auto"/>
              <w:left w:val="nil"/>
              <w:bottom w:val="single" w:sz="4" w:space="0" w:color="auto"/>
              <w:right w:val="single" w:sz="4" w:space="0" w:color="000000"/>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w:t>
            </w:r>
            <w:r>
              <w:rPr>
                <w:rFonts w:ascii="Times New Roman" w:hAnsi="Times New Roman" w:cs="宋体"/>
                <w:kern w:val="0"/>
                <w:sz w:val="16"/>
                <w:szCs w:val="16"/>
              </w:rPr>
              <w:t>4</w:t>
            </w:r>
            <w:r>
              <w:rPr>
                <w:rFonts w:ascii="Times New Roman" w:hAnsi="Times New Roman" w:cs="宋体" w:hint="eastAsia"/>
                <w:kern w:val="0"/>
                <w:sz w:val="16"/>
                <w:szCs w:val="16"/>
              </w:rPr>
              <w:t>年执行数</w:t>
            </w:r>
          </w:p>
        </w:tc>
        <w:tc>
          <w:tcPr>
            <w:tcW w:w="5480" w:type="dxa"/>
            <w:gridSpan w:val="5"/>
            <w:tcBorders>
              <w:top w:val="single" w:sz="4" w:space="0" w:color="auto"/>
              <w:left w:val="nil"/>
              <w:bottom w:val="single" w:sz="4" w:space="0" w:color="auto"/>
              <w:right w:val="single" w:sz="4" w:space="0" w:color="000000"/>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2025</w:t>
            </w:r>
            <w:r>
              <w:rPr>
                <w:rFonts w:ascii="Times New Roman" w:hAnsi="Times New Roman" w:cs="宋体" w:hint="eastAsia"/>
                <w:kern w:val="0"/>
                <w:sz w:val="16"/>
                <w:szCs w:val="16"/>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2025</w:t>
            </w:r>
            <w:r>
              <w:rPr>
                <w:rFonts w:ascii="Times New Roman" w:hAnsi="Times New Roman" w:cs="宋体" w:hint="eastAsia"/>
                <w:kern w:val="0"/>
                <w:sz w:val="16"/>
                <w:szCs w:val="16"/>
              </w:rPr>
              <w:t>年预算数比</w:t>
            </w:r>
          </w:p>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w:t>
            </w:r>
            <w:r>
              <w:rPr>
                <w:rFonts w:ascii="Times New Roman" w:hAnsi="Times New Roman" w:cs="宋体"/>
                <w:kern w:val="0"/>
                <w:sz w:val="16"/>
                <w:szCs w:val="16"/>
              </w:rPr>
              <w:t>4</w:t>
            </w:r>
            <w:r>
              <w:rPr>
                <w:rFonts w:ascii="Times New Roman" w:hAnsi="Times New Roman" w:cs="宋体"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2025</w:t>
            </w:r>
            <w:r>
              <w:rPr>
                <w:rFonts w:ascii="Times New Roman" w:hAnsi="Times New Roman" w:cs="宋体" w:hint="eastAsia"/>
                <w:kern w:val="0"/>
                <w:sz w:val="16"/>
                <w:szCs w:val="16"/>
              </w:rPr>
              <w:t>年预算数比</w:t>
            </w:r>
          </w:p>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w:t>
            </w:r>
            <w:r>
              <w:rPr>
                <w:rFonts w:ascii="Times New Roman" w:hAnsi="Times New Roman" w:cs="宋体"/>
                <w:kern w:val="0"/>
                <w:sz w:val="16"/>
                <w:szCs w:val="16"/>
              </w:rPr>
              <w:t>4</w:t>
            </w:r>
            <w:r>
              <w:rPr>
                <w:rFonts w:ascii="Times New Roman" w:hAnsi="Times New Roman" w:cs="宋体" w:hint="eastAsia"/>
                <w:kern w:val="0"/>
                <w:sz w:val="16"/>
                <w:szCs w:val="16"/>
              </w:rPr>
              <w:t>年执行数</w:t>
            </w:r>
          </w:p>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w:t>
            </w:r>
          </w:p>
        </w:tc>
      </w:tr>
      <w:tr w:rsidR="006174B9">
        <w:trPr>
          <w:trHeight w:val="255"/>
        </w:trPr>
        <w:tc>
          <w:tcPr>
            <w:tcW w:w="962"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科目编码</w:t>
            </w:r>
          </w:p>
        </w:tc>
        <w:tc>
          <w:tcPr>
            <w:tcW w:w="1873"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执行数</w:t>
            </w:r>
          </w:p>
        </w:tc>
        <w:tc>
          <w:tcPr>
            <w:tcW w:w="1630"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扣除中央基建投资后执行数</w:t>
            </w:r>
          </w:p>
        </w:tc>
        <w:tc>
          <w:tcPr>
            <w:tcW w:w="3850" w:type="dxa"/>
            <w:gridSpan w:val="4"/>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年初预算数</w:t>
            </w:r>
          </w:p>
        </w:tc>
        <w:tc>
          <w:tcPr>
            <w:tcW w:w="1630"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扣除中央基建投资后预算数</w:t>
            </w:r>
          </w:p>
        </w:tc>
        <w:tc>
          <w:tcPr>
            <w:tcW w:w="1284"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964"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hint="eastAsia"/>
                <w:kern w:val="0"/>
                <w:sz w:val="16"/>
                <w:szCs w:val="16"/>
              </w:rPr>
              <w:t>(%)</w:t>
            </w:r>
          </w:p>
        </w:tc>
        <w:tc>
          <w:tcPr>
            <w:tcW w:w="1216"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hint="eastAsia"/>
                <w:kern w:val="0"/>
                <w:sz w:val="16"/>
                <w:szCs w:val="16"/>
              </w:rPr>
              <w:t>%)</w:t>
            </w:r>
          </w:p>
        </w:tc>
      </w:tr>
      <w:tr w:rsidR="006174B9">
        <w:trPr>
          <w:trHeight w:val="315"/>
        </w:trPr>
        <w:tc>
          <w:tcPr>
            <w:tcW w:w="962" w:type="dxa"/>
            <w:vMerge/>
            <w:tcBorders>
              <w:top w:val="nil"/>
              <w:left w:val="single" w:sz="4" w:space="0" w:color="auto"/>
              <w:bottom w:val="single" w:sz="4" w:space="0" w:color="000000"/>
              <w:right w:val="single" w:sz="4" w:space="0" w:color="auto"/>
            </w:tcBorders>
            <w:vAlign w:val="center"/>
          </w:tcPr>
          <w:p w:rsidR="006174B9" w:rsidRDefault="006174B9"/>
        </w:tc>
        <w:tc>
          <w:tcPr>
            <w:tcW w:w="1873" w:type="dxa"/>
            <w:vMerge/>
            <w:tcBorders>
              <w:top w:val="nil"/>
              <w:left w:val="single" w:sz="4" w:space="0" w:color="auto"/>
              <w:bottom w:val="single" w:sz="4" w:space="0" w:color="000000"/>
              <w:right w:val="single" w:sz="4" w:space="0" w:color="auto"/>
            </w:tcBorders>
            <w:vAlign w:val="center"/>
          </w:tcPr>
          <w:p w:rsidR="006174B9" w:rsidRDefault="006174B9"/>
        </w:tc>
        <w:tc>
          <w:tcPr>
            <w:tcW w:w="1056" w:type="dxa"/>
            <w:vMerge/>
            <w:tcBorders>
              <w:top w:val="nil"/>
              <w:left w:val="single" w:sz="4" w:space="0" w:color="auto"/>
              <w:bottom w:val="single" w:sz="4" w:space="0" w:color="000000"/>
              <w:right w:val="single" w:sz="4" w:space="0" w:color="auto"/>
            </w:tcBorders>
            <w:vAlign w:val="center"/>
          </w:tcPr>
          <w:p w:rsidR="006174B9" w:rsidRDefault="006174B9"/>
        </w:tc>
        <w:tc>
          <w:tcPr>
            <w:tcW w:w="1630" w:type="dxa"/>
            <w:vMerge/>
            <w:tcBorders>
              <w:top w:val="nil"/>
              <w:left w:val="single" w:sz="4" w:space="0" w:color="auto"/>
              <w:bottom w:val="single" w:sz="4" w:space="0" w:color="000000"/>
              <w:right w:val="single" w:sz="4" w:space="0" w:color="auto"/>
            </w:tcBorders>
            <w:vAlign w:val="center"/>
          </w:tcPr>
          <w:p w:rsidR="006174B9" w:rsidRDefault="006174B9"/>
        </w:tc>
        <w:tc>
          <w:tcPr>
            <w:tcW w:w="1390" w:type="dxa"/>
            <w:gridSpan w:val="2"/>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小计</w:t>
            </w:r>
          </w:p>
        </w:tc>
        <w:tc>
          <w:tcPr>
            <w:tcW w:w="1310"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项目支出</w:t>
            </w:r>
          </w:p>
        </w:tc>
        <w:tc>
          <w:tcPr>
            <w:tcW w:w="1630" w:type="dxa"/>
            <w:vMerge/>
            <w:tcBorders>
              <w:top w:val="nil"/>
              <w:left w:val="single" w:sz="4" w:space="0" w:color="auto"/>
              <w:bottom w:val="single" w:sz="4" w:space="0" w:color="000000"/>
              <w:right w:val="single" w:sz="4" w:space="0" w:color="auto"/>
            </w:tcBorders>
            <w:vAlign w:val="center"/>
          </w:tcPr>
          <w:p w:rsidR="006174B9" w:rsidRDefault="006174B9"/>
        </w:tc>
        <w:tc>
          <w:tcPr>
            <w:tcW w:w="1284" w:type="dxa"/>
            <w:vMerge/>
            <w:tcBorders>
              <w:top w:val="nil"/>
              <w:left w:val="single" w:sz="4" w:space="0" w:color="auto"/>
              <w:bottom w:val="single" w:sz="4" w:space="0" w:color="000000"/>
              <w:right w:val="single" w:sz="4" w:space="0" w:color="auto"/>
            </w:tcBorders>
            <w:vAlign w:val="center"/>
          </w:tcPr>
          <w:p w:rsidR="006174B9" w:rsidRDefault="006174B9"/>
        </w:tc>
        <w:tc>
          <w:tcPr>
            <w:tcW w:w="964" w:type="dxa"/>
            <w:vMerge/>
            <w:tcBorders>
              <w:top w:val="nil"/>
              <w:left w:val="single" w:sz="4" w:space="0" w:color="auto"/>
              <w:bottom w:val="single" w:sz="4" w:space="0" w:color="000000"/>
              <w:right w:val="single" w:sz="4" w:space="0" w:color="auto"/>
            </w:tcBorders>
            <w:vAlign w:val="center"/>
          </w:tcPr>
          <w:p w:rsidR="006174B9" w:rsidRDefault="006174B9"/>
        </w:tc>
        <w:tc>
          <w:tcPr>
            <w:tcW w:w="1216" w:type="dxa"/>
            <w:vMerge/>
            <w:tcBorders>
              <w:top w:val="nil"/>
              <w:left w:val="single" w:sz="4" w:space="0" w:color="auto"/>
              <w:bottom w:val="single" w:sz="4" w:space="0" w:color="000000"/>
              <w:right w:val="single" w:sz="4" w:space="0" w:color="auto"/>
            </w:tcBorders>
            <w:vAlign w:val="center"/>
          </w:tcPr>
          <w:p w:rsidR="006174B9" w:rsidRDefault="006174B9"/>
        </w:tc>
        <w:tc>
          <w:tcPr>
            <w:tcW w:w="1029" w:type="dxa"/>
            <w:vMerge/>
            <w:tcBorders>
              <w:top w:val="nil"/>
              <w:left w:val="single" w:sz="4" w:space="0" w:color="auto"/>
              <w:bottom w:val="single" w:sz="4" w:space="0" w:color="000000"/>
              <w:right w:val="single" w:sz="4" w:space="0" w:color="auto"/>
            </w:tcBorders>
            <w:vAlign w:val="center"/>
          </w:tcPr>
          <w:p w:rsidR="006174B9" w:rsidRDefault="006174B9"/>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201</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一般公共服务支出</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rPr>
            </w:pPr>
            <w:r>
              <w:rPr>
                <w:rFonts w:ascii="Times New Roman" w:hAnsi="Times New Roman" w:cs="Times New Roman"/>
                <w:b/>
                <w:sz w:val="16"/>
                <w:szCs w:val="16"/>
              </w:rPr>
              <w:t>353.00</w:t>
            </w:r>
          </w:p>
        </w:tc>
        <w:tc>
          <w:tcPr>
            <w:tcW w:w="1630"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rPr>
            </w:pPr>
            <w:r>
              <w:rPr>
                <w:rFonts w:ascii="Times New Roman" w:hAnsi="Times New Roman" w:cs="Times New Roman" w:hint="eastAsia"/>
                <w:b/>
                <w:sz w:val="16"/>
                <w:szCs w:val="16"/>
              </w:rPr>
              <w:t>3</w:t>
            </w:r>
            <w:r>
              <w:rPr>
                <w:rFonts w:ascii="Times New Roman" w:hAnsi="Times New Roman" w:cs="Times New Roman"/>
                <w:b/>
                <w:sz w:val="16"/>
                <w:szCs w:val="16"/>
              </w:rPr>
              <w:t>53.0</w:t>
            </w:r>
            <w:r>
              <w:rPr>
                <w:rFonts w:ascii="Times New Roman" w:hAnsi="Times New Roman" w:cs="Times New Roman" w:hint="eastAsia"/>
                <w:b/>
                <w:sz w:val="16"/>
                <w:szCs w:val="16"/>
              </w:rPr>
              <w:t>0</w:t>
            </w: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rPr>
            </w:pPr>
            <w:r>
              <w:rPr>
                <w:rFonts w:ascii="Times New Roman" w:hAnsi="Times New Roman" w:cs="Times New Roman"/>
                <w:b/>
                <w:sz w:val="16"/>
                <w:szCs w:val="16"/>
              </w:rPr>
              <w:t>374.00</w:t>
            </w:r>
          </w:p>
        </w:tc>
        <w:tc>
          <w:tcPr>
            <w:tcW w:w="1310"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rPr>
            </w:pPr>
            <w:r>
              <w:rPr>
                <w:rFonts w:ascii="Times New Roman" w:hAnsi="Times New Roman" w:cs="Times New Roman"/>
                <w:b/>
                <w:sz w:val="16"/>
                <w:szCs w:val="16"/>
              </w:rPr>
              <w:t>371.00</w:t>
            </w:r>
          </w:p>
        </w:tc>
        <w:tc>
          <w:tcPr>
            <w:tcW w:w="115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sz w:val="16"/>
                <w:szCs w:val="16"/>
              </w:rPr>
            </w:pPr>
            <w:r>
              <w:rPr>
                <w:rFonts w:ascii="Times New Roman" w:hAnsi="Times New Roman" w:cs="Times New Roman" w:hint="eastAsia"/>
                <w:b/>
                <w:sz w:val="16"/>
                <w:szCs w:val="16"/>
              </w:rPr>
              <w:t>3.00</w:t>
            </w:r>
          </w:p>
        </w:tc>
        <w:tc>
          <w:tcPr>
            <w:tcW w:w="1630"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shd w:val="solid" w:color="FFFF00" w:fill="FFFFFF"/>
              </w:rPr>
            </w:pPr>
            <w:r>
              <w:rPr>
                <w:rFonts w:ascii="Times New Roman" w:hAnsi="Times New Roman" w:cs="Times New Roman"/>
                <w:b/>
                <w:sz w:val="16"/>
                <w:szCs w:val="16"/>
              </w:rPr>
              <w:t>374.00</w:t>
            </w:r>
          </w:p>
        </w:tc>
        <w:tc>
          <w:tcPr>
            <w:tcW w:w="1284"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21.00</w:t>
            </w:r>
          </w:p>
        </w:tc>
        <w:tc>
          <w:tcPr>
            <w:tcW w:w="964"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5.95</w:t>
            </w:r>
            <w:r>
              <w:rPr>
                <w:rFonts w:ascii="Times New Roman" w:hAnsi="Times New Roman" w:cs="Times New Roman" w:hint="eastAsia"/>
                <w:b/>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6174B9" w:rsidRDefault="005B2F69">
            <w:pPr>
              <w:pStyle w:val="1210"/>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21.00</w:t>
            </w:r>
          </w:p>
        </w:tc>
        <w:tc>
          <w:tcPr>
            <w:tcW w:w="1029" w:type="dxa"/>
            <w:tcBorders>
              <w:top w:val="nil"/>
              <w:left w:val="nil"/>
              <w:bottom w:val="single" w:sz="4" w:space="0" w:color="auto"/>
              <w:right w:val="single" w:sz="4" w:space="0" w:color="auto"/>
            </w:tcBorders>
            <w:shd w:val="clear" w:color="auto" w:fill="auto"/>
            <w:noWrap/>
            <w:vAlign w:val="center"/>
          </w:tcPr>
          <w:p w:rsidR="006174B9" w:rsidRDefault="005B2F69">
            <w:pPr>
              <w:pStyle w:val="1310"/>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5.95</w:t>
            </w:r>
            <w:r>
              <w:rPr>
                <w:rFonts w:ascii="Times New Roman" w:hAnsi="Times New Roman" w:cs="Times New Roman" w:hint="eastAsia"/>
                <w:b/>
                <w:bCs/>
                <w:color w:val="000000"/>
                <w:kern w:val="0"/>
                <w:sz w:val="16"/>
                <w:szCs w:val="16"/>
              </w:rPr>
              <w:t>%</w:t>
            </w: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20109</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海关事务</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rPr>
            </w:pPr>
            <w:r>
              <w:rPr>
                <w:rFonts w:ascii="Times New Roman" w:hAnsi="Times New Roman" w:cs="Times New Roman"/>
                <w:b/>
                <w:sz w:val="16"/>
                <w:szCs w:val="16"/>
              </w:rPr>
              <w:t>353.00</w:t>
            </w:r>
          </w:p>
        </w:tc>
        <w:tc>
          <w:tcPr>
            <w:tcW w:w="1630"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rPr>
            </w:pPr>
            <w:r>
              <w:rPr>
                <w:rFonts w:ascii="Times New Roman" w:hAnsi="Times New Roman" w:cs="Times New Roman"/>
                <w:b/>
                <w:sz w:val="16"/>
                <w:szCs w:val="16"/>
              </w:rPr>
              <w:t>353.00</w:t>
            </w: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rPr>
            </w:pPr>
            <w:r>
              <w:rPr>
                <w:rFonts w:ascii="Times New Roman" w:hAnsi="Times New Roman" w:cs="Times New Roman"/>
                <w:b/>
                <w:sz w:val="16"/>
                <w:szCs w:val="16"/>
              </w:rPr>
              <w:t>374.00</w:t>
            </w:r>
          </w:p>
        </w:tc>
        <w:tc>
          <w:tcPr>
            <w:tcW w:w="1310"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rPr>
            </w:pPr>
            <w:r>
              <w:rPr>
                <w:rFonts w:ascii="Times New Roman" w:hAnsi="Times New Roman" w:cs="Times New Roman"/>
                <w:b/>
                <w:sz w:val="16"/>
                <w:szCs w:val="16"/>
              </w:rPr>
              <w:t>371.00</w:t>
            </w:r>
          </w:p>
        </w:tc>
        <w:tc>
          <w:tcPr>
            <w:tcW w:w="115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sz w:val="16"/>
                <w:szCs w:val="16"/>
              </w:rPr>
            </w:pPr>
            <w:r>
              <w:rPr>
                <w:rFonts w:ascii="Times New Roman" w:hAnsi="Times New Roman" w:cs="Times New Roman" w:hint="eastAsia"/>
                <w:b/>
                <w:sz w:val="16"/>
                <w:szCs w:val="16"/>
              </w:rPr>
              <w:t>3.00</w:t>
            </w:r>
          </w:p>
        </w:tc>
        <w:tc>
          <w:tcPr>
            <w:tcW w:w="1630"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rPr>
            </w:pPr>
            <w:r>
              <w:rPr>
                <w:rFonts w:ascii="Times New Roman" w:hAnsi="Times New Roman" w:cs="Times New Roman"/>
                <w:b/>
                <w:sz w:val="16"/>
                <w:szCs w:val="16"/>
              </w:rPr>
              <w:t>374.00</w:t>
            </w:r>
          </w:p>
        </w:tc>
        <w:tc>
          <w:tcPr>
            <w:tcW w:w="1284"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21.00</w:t>
            </w:r>
          </w:p>
        </w:tc>
        <w:tc>
          <w:tcPr>
            <w:tcW w:w="964"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5.95</w:t>
            </w:r>
            <w:r>
              <w:rPr>
                <w:rFonts w:ascii="Times New Roman" w:hAnsi="Times New Roman" w:cs="Times New Roman" w:hint="eastAsia"/>
                <w:b/>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6174B9" w:rsidRDefault="005B2F69">
            <w:pPr>
              <w:pStyle w:val="1410"/>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21.00</w:t>
            </w:r>
          </w:p>
        </w:tc>
        <w:tc>
          <w:tcPr>
            <w:tcW w:w="1029" w:type="dxa"/>
            <w:tcBorders>
              <w:top w:val="nil"/>
              <w:left w:val="nil"/>
              <w:bottom w:val="single" w:sz="4" w:space="0" w:color="auto"/>
              <w:right w:val="single" w:sz="4" w:space="0" w:color="auto"/>
            </w:tcBorders>
            <w:shd w:val="clear" w:color="auto" w:fill="auto"/>
            <w:noWrap/>
            <w:vAlign w:val="center"/>
          </w:tcPr>
          <w:p w:rsidR="006174B9" w:rsidRDefault="005B2F69">
            <w:pPr>
              <w:pStyle w:val="1510"/>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5.95</w:t>
            </w:r>
            <w:r>
              <w:rPr>
                <w:rFonts w:ascii="Times New Roman" w:hAnsi="Times New Roman" w:cs="Times New Roman" w:hint="eastAsia"/>
                <w:b/>
                <w:bCs/>
                <w:color w:val="000000"/>
                <w:kern w:val="0"/>
                <w:sz w:val="16"/>
                <w:szCs w:val="16"/>
              </w:rPr>
              <w:t>%</w:t>
            </w: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2010901</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行政运行</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2010902</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一般行政管理事务</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2010903</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机关服务</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2010905</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缉私办案</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2010907</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口岸管理</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2010908</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信息化建设</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2010909</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海关关务</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16"/>
                <w:szCs w:val="16"/>
              </w:rPr>
            </w:pPr>
            <w:r>
              <w:rPr>
                <w:rFonts w:ascii="Times New Roman" w:hAnsi="Times New Roman" w:cs="Times New Roman" w:hint="eastAsia"/>
                <w:sz w:val="16"/>
                <w:szCs w:val="16"/>
              </w:rPr>
              <w:t>3.00</w:t>
            </w:r>
          </w:p>
        </w:tc>
        <w:tc>
          <w:tcPr>
            <w:tcW w:w="1630"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16"/>
                <w:szCs w:val="16"/>
              </w:rPr>
            </w:pPr>
            <w:r>
              <w:rPr>
                <w:rFonts w:ascii="Times New Roman" w:hAnsi="Times New Roman" w:cs="Times New Roman" w:hint="eastAsia"/>
                <w:sz w:val="16"/>
                <w:szCs w:val="16"/>
              </w:rPr>
              <w:t>3.00</w:t>
            </w: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3.00</w:t>
            </w: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3.00</w:t>
            </w:r>
          </w:p>
        </w:tc>
        <w:tc>
          <w:tcPr>
            <w:tcW w:w="163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3.00</w:t>
            </w:r>
          </w:p>
        </w:tc>
        <w:tc>
          <w:tcPr>
            <w:tcW w:w="1284"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16"/>
                <w:szCs w:val="16"/>
              </w:rPr>
            </w:pPr>
            <w:r>
              <w:rPr>
                <w:rFonts w:ascii="Times New Roman" w:hAnsi="Times New Roman" w:cs="Times New Roman" w:hint="eastAsia"/>
                <w:sz w:val="16"/>
                <w:szCs w:val="16"/>
              </w:rPr>
              <w:t>0</w:t>
            </w:r>
          </w:p>
        </w:tc>
        <w:tc>
          <w:tcPr>
            <w:tcW w:w="964"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0</w:t>
            </w:r>
          </w:p>
        </w:tc>
        <w:tc>
          <w:tcPr>
            <w:tcW w:w="121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16"/>
                <w:szCs w:val="16"/>
              </w:rPr>
            </w:pPr>
            <w:r>
              <w:rPr>
                <w:rFonts w:ascii="Times New Roman" w:hAnsi="Times New Roman" w:cs="Times New Roman" w:hint="eastAsia"/>
                <w:sz w:val="16"/>
                <w:szCs w:val="16"/>
              </w:rPr>
              <w:t>0</w:t>
            </w:r>
          </w:p>
        </w:tc>
        <w:tc>
          <w:tcPr>
            <w:tcW w:w="102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0</w:t>
            </w: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2010910</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关税征管</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2010911</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海关监管</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2010912</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检验检疫</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2010950</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事业运行</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16"/>
                <w:szCs w:val="16"/>
              </w:rPr>
            </w:pPr>
            <w:r>
              <w:rPr>
                <w:rFonts w:ascii="Times New Roman" w:hAnsi="Times New Roman" w:cs="Times New Roman"/>
                <w:sz w:val="16"/>
                <w:szCs w:val="16"/>
              </w:rPr>
              <w:t>350.00</w:t>
            </w:r>
          </w:p>
        </w:tc>
        <w:tc>
          <w:tcPr>
            <w:tcW w:w="1630"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16"/>
                <w:szCs w:val="16"/>
              </w:rPr>
            </w:pPr>
            <w:r>
              <w:rPr>
                <w:rFonts w:ascii="Times New Roman" w:hAnsi="Times New Roman" w:cs="Times New Roman"/>
                <w:sz w:val="16"/>
                <w:szCs w:val="16"/>
              </w:rPr>
              <w:t>350.00</w:t>
            </w: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sz w:val="16"/>
                <w:szCs w:val="16"/>
              </w:rPr>
              <w:t>371.00</w:t>
            </w:r>
          </w:p>
        </w:tc>
        <w:tc>
          <w:tcPr>
            <w:tcW w:w="13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sz w:val="16"/>
                <w:szCs w:val="16"/>
              </w:rPr>
              <w:t>371.00</w:t>
            </w: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371.00</w:t>
            </w:r>
          </w:p>
        </w:tc>
        <w:tc>
          <w:tcPr>
            <w:tcW w:w="1284"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16"/>
                <w:szCs w:val="16"/>
              </w:rPr>
            </w:pPr>
            <w:r>
              <w:rPr>
                <w:rFonts w:ascii="Times New Roman" w:hAnsi="Times New Roman" w:cs="Times New Roman"/>
                <w:sz w:val="16"/>
                <w:szCs w:val="16"/>
              </w:rPr>
              <w:t>21.00</w:t>
            </w:r>
          </w:p>
        </w:tc>
        <w:tc>
          <w:tcPr>
            <w:tcW w:w="964"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6.00</w:t>
            </w:r>
            <w:r>
              <w:rPr>
                <w:rFonts w:ascii="Times New Roman" w:hAnsi="Times New Roman" w:cs="Times New Roman" w:hint="eastAsia"/>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6174B9" w:rsidRDefault="005B2F69">
            <w:pPr>
              <w:pStyle w:val="1610"/>
              <w:jc w:val="right"/>
              <w:rPr>
                <w:rFonts w:ascii="Times New Roman" w:hAnsi="Times New Roman" w:cs="Times New Roman"/>
                <w:sz w:val="16"/>
                <w:szCs w:val="16"/>
              </w:rPr>
            </w:pPr>
            <w:r>
              <w:rPr>
                <w:rFonts w:ascii="Times New Roman" w:hAnsi="Times New Roman" w:cs="Times New Roman"/>
                <w:sz w:val="16"/>
                <w:szCs w:val="16"/>
              </w:rPr>
              <w:t>21.00</w:t>
            </w:r>
          </w:p>
        </w:tc>
        <w:tc>
          <w:tcPr>
            <w:tcW w:w="1029" w:type="dxa"/>
            <w:tcBorders>
              <w:top w:val="nil"/>
              <w:left w:val="nil"/>
              <w:bottom w:val="single" w:sz="4" w:space="0" w:color="auto"/>
              <w:right w:val="single" w:sz="4" w:space="0" w:color="auto"/>
            </w:tcBorders>
            <w:shd w:val="clear" w:color="auto" w:fill="auto"/>
            <w:noWrap/>
            <w:vAlign w:val="center"/>
          </w:tcPr>
          <w:p w:rsidR="006174B9" w:rsidRDefault="005B2F69">
            <w:pPr>
              <w:pStyle w:val="1710"/>
              <w:widowControl/>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6.00</w:t>
            </w:r>
            <w:r>
              <w:rPr>
                <w:rFonts w:ascii="Times New Roman" w:hAnsi="Times New Roman" w:cs="Times New Roman" w:hint="eastAsia"/>
                <w:color w:val="000000"/>
                <w:kern w:val="0"/>
                <w:sz w:val="16"/>
                <w:szCs w:val="16"/>
              </w:rPr>
              <w:t>%</w:t>
            </w: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2010999</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其他海关事务支出</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20111</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纪检监察事务</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2011105</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派驻派出机构</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90"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lastRenderedPageBreak/>
              <w:t>功能分类科目</w:t>
            </w:r>
          </w:p>
        </w:tc>
        <w:tc>
          <w:tcPr>
            <w:tcW w:w="2750" w:type="dxa"/>
            <w:gridSpan w:val="3"/>
            <w:tcBorders>
              <w:top w:val="single" w:sz="4" w:space="0" w:color="auto"/>
              <w:left w:val="nil"/>
              <w:bottom w:val="single" w:sz="4" w:space="0" w:color="auto"/>
              <w:right w:val="single" w:sz="4" w:space="0" w:color="000000"/>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w:t>
            </w:r>
            <w:r>
              <w:rPr>
                <w:rFonts w:ascii="Times New Roman" w:hAnsi="Times New Roman" w:cs="宋体"/>
                <w:kern w:val="0"/>
                <w:sz w:val="16"/>
                <w:szCs w:val="16"/>
              </w:rPr>
              <w:t>4</w:t>
            </w:r>
            <w:r>
              <w:rPr>
                <w:rFonts w:ascii="Times New Roman" w:hAnsi="Times New Roman" w:cs="宋体" w:hint="eastAsia"/>
                <w:kern w:val="0"/>
                <w:sz w:val="16"/>
                <w:szCs w:val="16"/>
              </w:rPr>
              <w:t>年执行数</w:t>
            </w:r>
          </w:p>
        </w:tc>
        <w:tc>
          <w:tcPr>
            <w:tcW w:w="5416" w:type="dxa"/>
            <w:gridSpan w:val="4"/>
            <w:tcBorders>
              <w:top w:val="single" w:sz="4" w:space="0" w:color="auto"/>
              <w:left w:val="nil"/>
              <w:bottom w:val="single" w:sz="4" w:space="0" w:color="auto"/>
              <w:right w:val="single" w:sz="4" w:space="0" w:color="000000"/>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2025</w:t>
            </w:r>
            <w:r>
              <w:rPr>
                <w:rFonts w:ascii="Times New Roman" w:hAnsi="Times New Roman" w:cs="宋体" w:hint="eastAsia"/>
                <w:kern w:val="0"/>
                <w:sz w:val="16"/>
                <w:szCs w:val="16"/>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2025</w:t>
            </w:r>
            <w:r>
              <w:rPr>
                <w:rFonts w:ascii="Times New Roman" w:hAnsi="Times New Roman" w:cs="宋体" w:hint="eastAsia"/>
                <w:kern w:val="0"/>
                <w:sz w:val="16"/>
                <w:szCs w:val="16"/>
              </w:rPr>
              <w:t>年预算数比</w:t>
            </w:r>
            <w:r>
              <w:rPr>
                <w:rFonts w:ascii="Times New Roman" w:hAnsi="Times New Roman" w:cs="宋体" w:hint="eastAsia"/>
                <w:kern w:val="0"/>
                <w:sz w:val="16"/>
                <w:szCs w:val="16"/>
              </w:rPr>
              <w:br/>
              <w:t>202</w:t>
            </w:r>
            <w:r>
              <w:rPr>
                <w:rFonts w:ascii="Times New Roman" w:hAnsi="Times New Roman" w:cs="宋体"/>
                <w:kern w:val="0"/>
                <w:sz w:val="16"/>
                <w:szCs w:val="16"/>
              </w:rPr>
              <w:t>4</w:t>
            </w:r>
            <w:r>
              <w:rPr>
                <w:rFonts w:ascii="Times New Roman" w:hAnsi="Times New Roman" w:cs="宋体"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2025</w:t>
            </w:r>
            <w:r>
              <w:rPr>
                <w:rFonts w:ascii="Times New Roman" w:hAnsi="Times New Roman" w:cs="宋体" w:hint="eastAsia"/>
                <w:kern w:val="0"/>
                <w:sz w:val="16"/>
                <w:szCs w:val="16"/>
              </w:rPr>
              <w:t>年预算数比</w:t>
            </w:r>
            <w:r>
              <w:rPr>
                <w:rFonts w:ascii="Times New Roman" w:hAnsi="Times New Roman" w:cs="宋体" w:hint="eastAsia"/>
                <w:kern w:val="0"/>
                <w:sz w:val="16"/>
                <w:szCs w:val="16"/>
              </w:rPr>
              <w:br/>
              <w:t>202</w:t>
            </w:r>
            <w:r>
              <w:rPr>
                <w:rFonts w:ascii="Times New Roman" w:hAnsi="Times New Roman" w:cs="宋体"/>
                <w:kern w:val="0"/>
                <w:sz w:val="16"/>
                <w:szCs w:val="16"/>
              </w:rPr>
              <w:t>4</w:t>
            </w:r>
            <w:r>
              <w:rPr>
                <w:rFonts w:ascii="Times New Roman" w:hAnsi="Times New Roman" w:cs="宋体" w:hint="eastAsia"/>
                <w:kern w:val="0"/>
                <w:sz w:val="16"/>
                <w:szCs w:val="16"/>
              </w:rPr>
              <w:t>年执行数</w:t>
            </w:r>
            <w:r>
              <w:rPr>
                <w:rFonts w:ascii="Times New Roman" w:hAnsi="Times New Roman" w:cs="宋体" w:hint="eastAsia"/>
                <w:kern w:val="0"/>
                <w:sz w:val="16"/>
                <w:szCs w:val="16"/>
              </w:rPr>
              <w:br/>
            </w:r>
            <w:r>
              <w:rPr>
                <w:rFonts w:ascii="Times New Roman" w:hAnsi="Times New Roman" w:cs="宋体" w:hint="eastAsia"/>
                <w:kern w:val="0"/>
                <w:sz w:val="16"/>
                <w:szCs w:val="16"/>
              </w:rPr>
              <w:t>（扣除中央基建投资）</w:t>
            </w:r>
          </w:p>
        </w:tc>
      </w:tr>
      <w:tr w:rsidR="006174B9">
        <w:trPr>
          <w:trHeight w:val="255"/>
        </w:trPr>
        <w:tc>
          <w:tcPr>
            <w:tcW w:w="962"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科目编码</w:t>
            </w:r>
          </w:p>
        </w:tc>
        <w:tc>
          <w:tcPr>
            <w:tcW w:w="1873"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执行数</w:t>
            </w:r>
          </w:p>
        </w:tc>
        <w:tc>
          <w:tcPr>
            <w:tcW w:w="169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扣除中央基建投资后执行数</w:t>
            </w:r>
          </w:p>
        </w:tc>
        <w:tc>
          <w:tcPr>
            <w:tcW w:w="3786" w:type="dxa"/>
            <w:gridSpan w:val="3"/>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年初预算数</w:t>
            </w:r>
          </w:p>
        </w:tc>
        <w:tc>
          <w:tcPr>
            <w:tcW w:w="1630"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扣除中央基建投资后预算数</w:t>
            </w:r>
          </w:p>
        </w:tc>
        <w:tc>
          <w:tcPr>
            <w:tcW w:w="1284"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964"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hint="eastAsia"/>
                <w:kern w:val="0"/>
                <w:sz w:val="16"/>
                <w:szCs w:val="16"/>
              </w:rPr>
              <w:t>(%)</w:t>
            </w:r>
          </w:p>
        </w:tc>
        <w:tc>
          <w:tcPr>
            <w:tcW w:w="1216"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hint="eastAsia"/>
                <w:kern w:val="0"/>
                <w:sz w:val="16"/>
                <w:szCs w:val="16"/>
              </w:rPr>
              <w:t>%)</w:t>
            </w:r>
          </w:p>
        </w:tc>
      </w:tr>
      <w:tr w:rsidR="006174B9">
        <w:trPr>
          <w:trHeight w:val="255"/>
        </w:trPr>
        <w:tc>
          <w:tcPr>
            <w:tcW w:w="962" w:type="dxa"/>
            <w:vMerge/>
            <w:tcBorders>
              <w:top w:val="nil"/>
              <w:left w:val="single" w:sz="4" w:space="0" w:color="auto"/>
              <w:bottom w:val="single" w:sz="4" w:space="0" w:color="000000"/>
              <w:right w:val="single" w:sz="4" w:space="0" w:color="auto"/>
            </w:tcBorders>
            <w:vAlign w:val="center"/>
          </w:tcPr>
          <w:p w:rsidR="006174B9" w:rsidRDefault="006174B9"/>
        </w:tc>
        <w:tc>
          <w:tcPr>
            <w:tcW w:w="1873" w:type="dxa"/>
            <w:vMerge/>
            <w:tcBorders>
              <w:top w:val="nil"/>
              <w:left w:val="single" w:sz="4" w:space="0" w:color="auto"/>
              <w:bottom w:val="single" w:sz="4" w:space="0" w:color="000000"/>
              <w:right w:val="single" w:sz="4" w:space="0" w:color="auto"/>
            </w:tcBorders>
            <w:vAlign w:val="center"/>
          </w:tcPr>
          <w:p w:rsidR="006174B9" w:rsidRDefault="006174B9"/>
        </w:tc>
        <w:tc>
          <w:tcPr>
            <w:tcW w:w="1056" w:type="dxa"/>
            <w:vMerge/>
            <w:tcBorders>
              <w:top w:val="nil"/>
              <w:left w:val="single" w:sz="4" w:space="0" w:color="auto"/>
              <w:bottom w:val="single" w:sz="4" w:space="0" w:color="000000"/>
              <w:right w:val="single" w:sz="4" w:space="0" w:color="auto"/>
            </w:tcBorders>
            <w:vAlign w:val="center"/>
          </w:tcPr>
          <w:p w:rsidR="006174B9" w:rsidRDefault="006174B9"/>
        </w:tc>
        <w:tc>
          <w:tcPr>
            <w:tcW w:w="1694" w:type="dxa"/>
            <w:gridSpan w:val="2"/>
            <w:vMerge/>
            <w:tcBorders>
              <w:top w:val="nil"/>
              <w:left w:val="single" w:sz="4" w:space="0" w:color="auto"/>
              <w:bottom w:val="single" w:sz="4" w:space="0" w:color="000000"/>
              <w:right w:val="single" w:sz="4" w:space="0" w:color="auto"/>
            </w:tcBorders>
            <w:vAlign w:val="center"/>
          </w:tcPr>
          <w:p w:rsidR="006174B9" w:rsidRDefault="006174B9"/>
        </w:tc>
        <w:tc>
          <w:tcPr>
            <w:tcW w:w="1326"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小计</w:t>
            </w:r>
          </w:p>
        </w:tc>
        <w:tc>
          <w:tcPr>
            <w:tcW w:w="1310"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项目支出</w:t>
            </w:r>
          </w:p>
        </w:tc>
        <w:tc>
          <w:tcPr>
            <w:tcW w:w="1630" w:type="dxa"/>
            <w:vMerge/>
            <w:tcBorders>
              <w:top w:val="nil"/>
              <w:left w:val="single" w:sz="4" w:space="0" w:color="auto"/>
              <w:bottom w:val="single" w:sz="4" w:space="0" w:color="000000"/>
              <w:right w:val="single" w:sz="4" w:space="0" w:color="auto"/>
            </w:tcBorders>
            <w:vAlign w:val="center"/>
          </w:tcPr>
          <w:p w:rsidR="006174B9" w:rsidRDefault="006174B9"/>
        </w:tc>
        <w:tc>
          <w:tcPr>
            <w:tcW w:w="1284" w:type="dxa"/>
            <w:vMerge/>
            <w:tcBorders>
              <w:top w:val="nil"/>
              <w:left w:val="single" w:sz="4" w:space="0" w:color="auto"/>
              <w:bottom w:val="single" w:sz="4" w:space="0" w:color="000000"/>
              <w:right w:val="single" w:sz="4" w:space="0" w:color="auto"/>
            </w:tcBorders>
            <w:vAlign w:val="center"/>
          </w:tcPr>
          <w:p w:rsidR="006174B9" w:rsidRDefault="006174B9"/>
        </w:tc>
        <w:tc>
          <w:tcPr>
            <w:tcW w:w="964" w:type="dxa"/>
            <w:vMerge/>
            <w:tcBorders>
              <w:top w:val="nil"/>
              <w:left w:val="single" w:sz="4" w:space="0" w:color="auto"/>
              <w:bottom w:val="single" w:sz="4" w:space="0" w:color="000000"/>
              <w:right w:val="single" w:sz="4" w:space="0" w:color="auto"/>
            </w:tcBorders>
            <w:vAlign w:val="center"/>
          </w:tcPr>
          <w:p w:rsidR="006174B9" w:rsidRDefault="006174B9"/>
        </w:tc>
        <w:tc>
          <w:tcPr>
            <w:tcW w:w="1216" w:type="dxa"/>
            <w:vMerge/>
            <w:tcBorders>
              <w:top w:val="nil"/>
              <w:left w:val="single" w:sz="4" w:space="0" w:color="auto"/>
              <w:bottom w:val="single" w:sz="4" w:space="0" w:color="000000"/>
              <w:right w:val="single" w:sz="4" w:space="0" w:color="auto"/>
            </w:tcBorders>
            <w:vAlign w:val="center"/>
          </w:tcPr>
          <w:p w:rsidR="006174B9" w:rsidRDefault="006174B9"/>
        </w:tc>
        <w:tc>
          <w:tcPr>
            <w:tcW w:w="1029" w:type="dxa"/>
            <w:vMerge/>
            <w:tcBorders>
              <w:top w:val="nil"/>
              <w:left w:val="single" w:sz="4" w:space="0" w:color="auto"/>
              <w:bottom w:val="single" w:sz="4" w:space="0" w:color="000000"/>
              <w:right w:val="single" w:sz="4" w:space="0" w:color="auto"/>
            </w:tcBorders>
            <w:vAlign w:val="center"/>
          </w:tcPr>
          <w:p w:rsidR="006174B9" w:rsidRDefault="006174B9"/>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202</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外交支出</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20204</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国际组织</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2020401</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国际组织会费</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2020402</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国际组织捐赠</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20299</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其他外交支出</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2029999</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其他外交支出</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204</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公共安全支出</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20410</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缉私警察</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2041001</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行政运行</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2041002</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一般行政管理事务</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2041006</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信息化建设</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2041007</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缉私业务</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205</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教育支出</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20502</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普通教育</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2050205</w:t>
            </w:r>
          </w:p>
        </w:tc>
        <w:tc>
          <w:tcPr>
            <w:tcW w:w="1873"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高等教育</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94" w:type="dxa"/>
            <w:gridSpan w:val="2"/>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208</w:t>
            </w:r>
          </w:p>
        </w:tc>
        <w:tc>
          <w:tcPr>
            <w:tcW w:w="1873"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社会保障和就业支出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94" w:type="dxa"/>
            <w:gridSpan w:val="2"/>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10"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20805</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行政事业单位养老支出</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2080501</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行政单位离退休</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2080502</w:t>
            </w:r>
          </w:p>
        </w:tc>
        <w:tc>
          <w:tcPr>
            <w:tcW w:w="187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事业单位离退休</w:t>
            </w:r>
          </w:p>
        </w:tc>
        <w:tc>
          <w:tcPr>
            <w:tcW w:w="105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94" w:type="dxa"/>
            <w:gridSpan w:val="2"/>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31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20"/>
                <w:szCs w:val="20"/>
              </w:rPr>
            </w:pPr>
          </w:p>
        </w:tc>
        <w:tc>
          <w:tcPr>
            <w:tcW w:w="115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bl>
    <w:tbl>
      <w:tblPr>
        <w:tblW w:w="15593" w:type="dxa"/>
        <w:jc w:val="center"/>
        <w:tblLook w:val="04A0" w:firstRow="1" w:lastRow="0" w:firstColumn="1" w:lastColumn="0" w:noHBand="0" w:noVBand="1"/>
      </w:tblPr>
      <w:tblGrid>
        <w:gridCol w:w="993"/>
        <w:gridCol w:w="1843"/>
        <w:gridCol w:w="1276"/>
        <w:gridCol w:w="1559"/>
        <w:gridCol w:w="1276"/>
        <w:gridCol w:w="1275"/>
        <w:gridCol w:w="1276"/>
        <w:gridCol w:w="1559"/>
        <w:gridCol w:w="1276"/>
        <w:gridCol w:w="992"/>
        <w:gridCol w:w="1276"/>
        <w:gridCol w:w="992"/>
      </w:tblGrid>
      <w:tr w:rsidR="006174B9">
        <w:trPr>
          <w:trHeight w:val="255"/>
          <w:jc w:val="center"/>
        </w:trPr>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lastRenderedPageBreak/>
              <w:t>功能分类科目</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w:t>
            </w:r>
            <w:r>
              <w:rPr>
                <w:rFonts w:ascii="Times New Roman" w:hAnsi="Times New Roman" w:cs="宋体"/>
                <w:kern w:val="0"/>
                <w:sz w:val="16"/>
                <w:szCs w:val="16"/>
              </w:rPr>
              <w:t>4</w:t>
            </w:r>
            <w:r>
              <w:rPr>
                <w:rFonts w:ascii="Times New Roman" w:hAnsi="Times New Roman" w:cs="宋体" w:hint="eastAsia"/>
                <w:kern w:val="0"/>
                <w:sz w:val="16"/>
                <w:szCs w:val="16"/>
              </w:rPr>
              <w:t>年执行数</w:t>
            </w:r>
          </w:p>
        </w:tc>
        <w:tc>
          <w:tcPr>
            <w:tcW w:w="5386" w:type="dxa"/>
            <w:gridSpan w:val="4"/>
            <w:tcBorders>
              <w:top w:val="single" w:sz="4" w:space="0" w:color="auto"/>
              <w:left w:val="nil"/>
              <w:bottom w:val="single" w:sz="4" w:space="0" w:color="auto"/>
              <w:right w:val="single" w:sz="4" w:space="0" w:color="000000"/>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2025</w:t>
            </w:r>
            <w:r>
              <w:rPr>
                <w:rFonts w:ascii="Times New Roman" w:hAnsi="Times New Roman" w:cs="宋体" w:hint="eastAsia"/>
                <w:kern w:val="0"/>
                <w:sz w:val="16"/>
                <w:szCs w:val="16"/>
              </w:rPr>
              <w:t>年预算数</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2025</w:t>
            </w:r>
            <w:r>
              <w:rPr>
                <w:rFonts w:ascii="Times New Roman" w:hAnsi="Times New Roman" w:cs="宋体" w:hint="eastAsia"/>
                <w:kern w:val="0"/>
                <w:sz w:val="16"/>
                <w:szCs w:val="16"/>
              </w:rPr>
              <w:t>年预算数比</w:t>
            </w:r>
            <w:r>
              <w:rPr>
                <w:rFonts w:ascii="Times New Roman" w:hAnsi="Times New Roman" w:cs="宋体" w:hint="eastAsia"/>
                <w:kern w:val="0"/>
                <w:sz w:val="16"/>
                <w:szCs w:val="16"/>
              </w:rPr>
              <w:br/>
              <w:t>202</w:t>
            </w:r>
            <w:r>
              <w:rPr>
                <w:rFonts w:ascii="Times New Roman" w:hAnsi="Times New Roman" w:cs="宋体"/>
                <w:kern w:val="0"/>
                <w:sz w:val="16"/>
                <w:szCs w:val="16"/>
              </w:rPr>
              <w:t>4</w:t>
            </w:r>
            <w:r>
              <w:rPr>
                <w:rFonts w:ascii="Times New Roman" w:hAnsi="Times New Roman" w:cs="宋体" w:hint="eastAsia"/>
                <w:kern w:val="0"/>
                <w:sz w:val="16"/>
                <w:szCs w:val="16"/>
              </w:rPr>
              <w:t>年执行数</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2025</w:t>
            </w:r>
            <w:r>
              <w:rPr>
                <w:rFonts w:ascii="Times New Roman" w:hAnsi="Times New Roman" w:cs="宋体" w:hint="eastAsia"/>
                <w:kern w:val="0"/>
                <w:sz w:val="16"/>
                <w:szCs w:val="16"/>
              </w:rPr>
              <w:t>年预算数比</w:t>
            </w:r>
            <w:r>
              <w:rPr>
                <w:rFonts w:ascii="Times New Roman" w:hAnsi="Times New Roman" w:cs="宋体" w:hint="eastAsia"/>
                <w:kern w:val="0"/>
                <w:sz w:val="16"/>
                <w:szCs w:val="16"/>
              </w:rPr>
              <w:br/>
              <w:t>202</w:t>
            </w:r>
            <w:r>
              <w:rPr>
                <w:rFonts w:ascii="Times New Roman" w:hAnsi="Times New Roman" w:cs="宋体"/>
                <w:kern w:val="0"/>
                <w:sz w:val="16"/>
                <w:szCs w:val="16"/>
              </w:rPr>
              <w:t>4</w:t>
            </w:r>
            <w:r>
              <w:rPr>
                <w:rFonts w:ascii="Times New Roman" w:hAnsi="Times New Roman" w:cs="宋体" w:hint="eastAsia"/>
                <w:kern w:val="0"/>
                <w:sz w:val="16"/>
                <w:szCs w:val="16"/>
              </w:rPr>
              <w:t>年执行数</w:t>
            </w:r>
            <w:r>
              <w:rPr>
                <w:rFonts w:ascii="Times New Roman" w:hAnsi="Times New Roman" w:cs="宋体" w:hint="eastAsia"/>
                <w:kern w:val="0"/>
                <w:sz w:val="16"/>
                <w:szCs w:val="16"/>
              </w:rPr>
              <w:br/>
            </w:r>
            <w:r>
              <w:rPr>
                <w:rFonts w:ascii="Times New Roman" w:hAnsi="Times New Roman" w:cs="宋体" w:hint="eastAsia"/>
                <w:kern w:val="0"/>
                <w:sz w:val="16"/>
                <w:szCs w:val="16"/>
              </w:rPr>
              <w:t>（扣除中央基建投资）</w:t>
            </w:r>
          </w:p>
        </w:tc>
      </w:tr>
      <w:tr w:rsidR="006174B9">
        <w:trPr>
          <w:trHeight w:val="255"/>
          <w:jc w:val="center"/>
        </w:trPr>
        <w:tc>
          <w:tcPr>
            <w:tcW w:w="993"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科目编码</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科目名称</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执行数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扣除中央基建投资后执行数</w:t>
            </w: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年初预算数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扣除中央基建投资后预算数</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hint="eastAsia"/>
                <w:kern w:val="0"/>
                <w:sz w:val="16"/>
                <w:szCs w:val="16"/>
              </w:rPr>
              <w:t>(%)</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hint="eastAsia"/>
                <w:kern w:val="0"/>
                <w:sz w:val="16"/>
                <w:szCs w:val="16"/>
              </w:rPr>
              <w:t>(%)</w:t>
            </w:r>
          </w:p>
        </w:tc>
      </w:tr>
      <w:tr w:rsidR="006174B9">
        <w:trPr>
          <w:trHeight w:val="255"/>
          <w:jc w:val="center"/>
        </w:trPr>
        <w:tc>
          <w:tcPr>
            <w:tcW w:w="993" w:type="dxa"/>
            <w:vMerge/>
            <w:tcBorders>
              <w:top w:val="nil"/>
              <w:left w:val="single" w:sz="4" w:space="0" w:color="auto"/>
              <w:bottom w:val="single" w:sz="4" w:space="0" w:color="000000"/>
              <w:right w:val="single" w:sz="4" w:space="0" w:color="auto"/>
            </w:tcBorders>
            <w:vAlign w:val="center"/>
          </w:tcPr>
          <w:p w:rsidR="006174B9" w:rsidRDefault="006174B9"/>
        </w:tc>
        <w:tc>
          <w:tcPr>
            <w:tcW w:w="1843" w:type="dxa"/>
            <w:vMerge/>
            <w:tcBorders>
              <w:top w:val="nil"/>
              <w:left w:val="single" w:sz="4" w:space="0" w:color="auto"/>
              <w:bottom w:val="single" w:sz="4" w:space="0" w:color="000000"/>
              <w:right w:val="single" w:sz="4" w:space="0" w:color="auto"/>
            </w:tcBorders>
            <w:vAlign w:val="center"/>
          </w:tcPr>
          <w:p w:rsidR="006174B9" w:rsidRDefault="006174B9"/>
        </w:tc>
        <w:tc>
          <w:tcPr>
            <w:tcW w:w="1276" w:type="dxa"/>
            <w:vMerge/>
            <w:tcBorders>
              <w:top w:val="nil"/>
              <w:left w:val="single" w:sz="4" w:space="0" w:color="auto"/>
              <w:bottom w:val="single" w:sz="4" w:space="0" w:color="000000"/>
              <w:right w:val="single" w:sz="4" w:space="0" w:color="auto"/>
            </w:tcBorders>
            <w:vAlign w:val="center"/>
          </w:tcPr>
          <w:p w:rsidR="006174B9" w:rsidRDefault="006174B9"/>
        </w:tc>
        <w:tc>
          <w:tcPr>
            <w:tcW w:w="1559" w:type="dxa"/>
            <w:vMerge/>
            <w:tcBorders>
              <w:top w:val="nil"/>
              <w:left w:val="single" w:sz="4" w:space="0" w:color="auto"/>
              <w:bottom w:val="single" w:sz="4" w:space="0" w:color="000000"/>
              <w:right w:val="single" w:sz="4" w:space="0" w:color="auto"/>
            </w:tcBorders>
            <w:vAlign w:val="center"/>
          </w:tcPr>
          <w:p w:rsidR="006174B9" w:rsidRDefault="006174B9"/>
        </w:tc>
        <w:tc>
          <w:tcPr>
            <w:tcW w:w="1276"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小计</w:t>
            </w:r>
          </w:p>
        </w:tc>
        <w:tc>
          <w:tcPr>
            <w:tcW w:w="1275"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基本支出</w:t>
            </w:r>
          </w:p>
        </w:tc>
        <w:tc>
          <w:tcPr>
            <w:tcW w:w="1276"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16"/>
                <w:szCs w:val="16"/>
              </w:rPr>
            </w:pPr>
            <w:r>
              <w:rPr>
                <w:rFonts w:ascii="Times New Roman" w:hAnsi="Times New Roman" w:cs="宋体" w:hint="eastAsia"/>
                <w:kern w:val="0"/>
                <w:sz w:val="16"/>
                <w:szCs w:val="16"/>
              </w:rPr>
              <w:t>项目支出</w:t>
            </w:r>
          </w:p>
        </w:tc>
        <w:tc>
          <w:tcPr>
            <w:tcW w:w="1559" w:type="dxa"/>
            <w:vMerge/>
            <w:tcBorders>
              <w:top w:val="nil"/>
              <w:left w:val="single" w:sz="4" w:space="0" w:color="auto"/>
              <w:bottom w:val="single" w:sz="4" w:space="0" w:color="000000"/>
              <w:right w:val="single" w:sz="4" w:space="0" w:color="auto"/>
            </w:tcBorders>
            <w:vAlign w:val="center"/>
          </w:tcPr>
          <w:p w:rsidR="006174B9" w:rsidRDefault="006174B9"/>
        </w:tc>
        <w:tc>
          <w:tcPr>
            <w:tcW w:w="1276" w:type="dxa"/>
            <w:vMerge/>
            <w:tcBorders>
              <w:top w:val="nil"/>
              <w:left w:val="single" w:sz="4" w:space="0" w:color="auto"/>
              <w:bottom w:val="single" w:sz="4" w:space="0" w:color="000000"/>
              <w:right w:val="single" w:sz="4" w:space="0" w:color="auto"/>
            </w:tcBorders>
            <w:vAlign w:val="center"/>
          </w:tcPr>
          <w:p w:rsidR="006174B9" w:rsidRDefault="006174B9"/>
        </w:tc>
        <w:tc>
          <w:tcPr>
            <w:tcW w:w="992" w:type="dxa"/>
            <w:vMerge/>
            <w:tcBorders>
              <w:top w:val="nil"/>
              <w:left w:val="single" w:sz="4" w:space="0" w:color="auto"/>
              <w:bottom w:val="single" w:sz="4" w:space="0" w:color="000000"/>
              <w:right w:val="single" w:sz="4" w:space="0" w:color="auto"/>
            </w:tcBorders>
            <w:vAlign w:val="center"/>
          </w:tcPr>
          <w:p w:rsidR="006174B9" w:rsidRDefault="006174B9"/>
        </w:tc>
        <w:tc>
          <w:tcPr>
            <w:tcW w:w="1276" w:type="dxa"/>
            <w:vMerge/>
            <w:tcBorders>
              <w:top w:val="nil"/>
              <w:left w:val="single" w:sz="4" w:space="0" w:color="auto"/>
              <w:bottom w:val="single" w:sz="4" w:space="0" w:color="000000"/>
              <w:right w:val="single" w:sz="4" w:space="0" w:color="auto"/>
            </w:tcBorders>
            <w:vAlign w:val="center"/>
          </w:tcPr>
          <w:p w:rsidR="006174B9" w:rsidRDefault="006174B9"/>
        </w:tc>
        <w:tc>
          <w:tcPr>
            <w:tcW w:w="992" w:type="dxa"/>
            <w:vMerge/>
            <w:tcBorders>
              <w:top w:val="nil"/>
              <w:left w:val="single" w:sz="4" w:space="0" w:color="auto"/>
              <w:bottom w:val="single" w:sz="4" w:space="0" w:color="000000"/>
              <w:right w:val="single" w:sz="4" w:space="0" w:color="auto"/>
            </w:tcBorders>
            <w:vAlign w:val="center"/>
          </w:tcPr>
          <w:p w:rsidR="006174B9" w:rsidRDefault="006174B9"/>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2080503</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离退休人员管理机构</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2080505</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机关事业单位基本养老保险缴费支出</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2080506</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机关事业单位职业年金缴费支出</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210</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卫生健康支出</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21011</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行政事业单位医疗</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color w:val="000000"/>
                <w:kern w:val="0"/>
                <w:sz w:val="16"/>
                <w:szCs w:val="16"/>
              </w:rPr>
            </w:pP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2101101</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行政单位医疗</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2101103</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公务员医疗补助</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2101199</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其他行政事业单位医疗支出</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221</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住房保障支出</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pStyle w:val="1810"/>
              <w:jc w:val="right"/>
              <w:rPr>
                <w:rFonts w:ascii="Times New Roman" w:hAnsi="Times New Roman" w:cs="Times New Roman"/>
                <w:b/>
                <w:sz w:val="16"/>
                <w:szCs w:val="16"/>
              </w:rPr>
            </w:pPr>
            <w:r>
              <w:rPr>
                <w:rFonts w:ascii="Times New Roman" w:hAnsi="Times New Roman" w:cs="Times New Roman" w:hint="eastAsia"/>
                <w:b/>
                <w:sz w:val="16"/>
                <w:szCs w:val="16"/>
              </w:rPr>
              <w:t>270.00</w:t>
            </w:r>
          </w:p>
        </w:tc>
        <w:tc>
          <w:tcPr>
            <w:tcW w:w="1559" w:type="dxa"/>
            <w:tcBorders>
              <w:top w:val="nil"/>
              <w:left w:val="nil"/>
              <w:bottom w:val="single" w:sz="4" w:space="0" w:color="auto"/>
              <w:right w:val="single" w:sz="4" w:space="0" w:color="auto"/>
            </w:tcBorders>
            <w:shd w:val="clear" w:color="auto" w:fill="auto"/>
            <w:noWrap/>
            <w:vAlign w:val="center"/>
          </w:tcPr>
          <w:p w:rsidR="006174B9" w:rsidRDefault="005B2F69">
            <w:pPr>
              <w:pStyle w:val="1910"/>
              <w:jc w:val="right"/>
              <w:rPr>
                <w:rFonts w:ascii="Times New Roman" w:hAnsi="Times New Roman" w:cs="Times New Roman"/>
                <w:b/>
                <w:sz w:val="16"/>
                <w:szCs w:val="16"/>
              </w:rPr>
            </w:pPr>
            <w:r>
              <w:rPr>
                <w:rFonts w:ascii="Times New Roman" w:hAnsi="Times New Roman" w:cs="Times New Roman" w:hint="eastAsia"/>
                <w:b/>
                <w:sz w:val="16"/>
                <w:szCs w:val="16"/>
              </w:rPr>
              <w:t>270.00</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b/>
                <w:bCs/>
                <w:sz w:val="16"/>
                <w:szCs w:val="16"/>
                <w:shd w:val="solid" w:color="FFFF00" w:fill="FFFFFF"/>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b/>
                <w:bCs/>
                <w:sz w:val="16"/>
                <w:szCs w:val="16"/>
                <w:shd w:val="solid" w:color="FFFF00" w:fill="FFFFFF"/>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sz w:val="16"/>
                <w:szCs w:val="16"/>
                <w:shd w:val="solid" w:color="FFFF00" w:fill="FFFFFF"/>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pStyle w:val="2810"/>
              <w:jc w:val="right"/>
              <w:rPr>
                <w:rFonts w:ascii="Times New Roman" w:hAnsi="Times New Roman" w:cs="Times New Roman"/>
                <w:b/>
                <w:bCs/>
                <w:sz w:val="16"/>
                <w:szCs w:val="16"/>
                <w:shd w:val="solid" w:color="FFFF00" w:fill="FFFFFF"/>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-270</w:t>
            </w:r>
          </w:p>
        </w:tc>
        <w:tc>
          <w:tcPr>
            <w:tcW w:w="99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-100%</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pStyle w:val="5510"/>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-270</w:t>
            </w:r>
          </w:p>
        </w:tc>
        <w:tc>
          <w:tcPr>
            <w:tcW w:w="992" w:type="dxa"/>
            <w:tcBorders>
              <w:top w:val="nil"/>
              <w:left w:val="nil"/>
              <w:bottom w:val="single" w:sz="4" w:space="0" w:color="auto"/>
              <w:right w:val="single" w:sz="4" w:space="0" w:color="auto"/>
            </w:tcBorders>
            <w:shd w:val="clear" w:color="auto" w:fill="auto"/>
            <w:noWrap/>
            <w:vAlign w:val="center"/>
          </w:tcPr>
          <w:p w:rsidR="006174B9" w:rsidRDefault="005B2F69">
            <w:pPr>
              <w:pStyle w:val="5610"/>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-100%</w:t>
            </w: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22102</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住房改革支出</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pStyle w:val="2010"/>
              <w:jc w:val="right"/>
              <w:rPr>
                <w:rFonts w:ascii="Times New Roman" w:hAnsi="Times New Roman" w:cs="Times New Roman"/>
                <w:b/>
                <w:sz w:val="16"/>
                <w:szCs w:val="16"/>
              </w:rPr>
            </w:pPr>
            <w:r>
              <w:rPr>
                <w:rFonts w:ascii="Times New Roman" w:hAnsi="Times New Roman" w:cs="Times New Roman" w:hint="eastAsia"/>
                <w:b/>
                <w:sz w:val="16"/>
                <w:szCs w:val="16"/>
              </w:rPr>
              <w:t>270.00</w:t>
            </w:r>
          </w:p>
        </w:tc>
        <w:tc>
          <w:tcPr>
            <w:tcW w:w="1559" w:type="dxa"/>
            <w:tcBorders>
              <w:top w:val="nil"/>
              <w:left w:val="nil"/>
              <w:bottom w:val="single" w:sz="4" w:space="0" w:color="auto"/>
              <w:right w:val="single" w:sz="4" w:space="0" w:color="auto"/>
            </w:tcBorders>
            <w:shd w:val="clear" w:color="auto" w:fill="auto"/>
            <w:noWrap/>
            <w:vAlign w:val="center"/>
          </w:tcPr>
          <w:p w:rsidR="006174B9" w:rsidRDefault="005B2F69">
            <w:pPr>
              <w:pStyle w:val="2110"/>
              <w:jc w:val="right"/>
              <w:rPr>
                <w:rFonts w:ascii="Times New Roman" w:hAnsi="Times New Roman" w:cs="Times New Roman"/>
                <w:b/>
                <w:sz w:val="16"/>
                <w:szCs w:val="16"/>
              </w:rPr>
            </w:pPr>
            <w:r>
              <w:rPr>
                <w:rFonts w:ascii="Times New Roman" w:hAnsi="Times New Roman" w:cs="Times New Roman" w:hint="eastAsia"/>
                <w:b/>
                <w:sz w:val="16"/>
                <w:szCs w:val="16"/>
              </w:rPr>
              <w:t>270.00</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b/>
                <w:bCs/>
                <w:sz w:val="16"/>
                <w:szCs w:val="16"/>
                <w:shd w:val="solid" w:color="FFFF00" w:fill="FFFFFF"/>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b/>
                <w:bCs/>
                <w:sz w:val="16"/>
                <w:szCs w:val="16"/>
                <w:shd w:val="solid" w:color="FFFF00" w:fill="FFFFFF"/>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bCs/>
                <w:sz w:val="16"/>
                <w:szCs w:val="16"/>
                <w:shd w:val="solid" w:color="FFFF00" w:fill="FFFFFF"/>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pStyle w:val="2910"/>
              <w:jc w:val="right"/>
              <w:rPr>
                <w:rFonts w:ascii="Times New Roman" w:hAnsi="Times New Roman" w:cs="Times New Roman"/>
                <w:b/>
                <w:bCs/>
                <w:sz w:val="16"/>
                <w:szCs w:val="16"/>
                <w:shd w:val="solid" w:color="FFFF00" w:fill="FFFFFF"/>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-270</w:t>
            </w:r>
          </w:p>
        </w:tc>
        <w:tc>
          <w:tcPr>
            <w:tcW w:w="99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-100%</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pStyle w:val="5710"/>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-270</w:t>
            </w:r>
          </w:p>
        </w:tc>
        <w:tc>
          <w:tcPr>
            <w:tcW w:w="992" w:type="dxa"/>
            <w:tcBorders>
              <w:top w:val="nil"/>
              <w:left w:val="nil"/>
              <w:bottom w:val="single" w:sz="4" w:space="0" w:color="auto"/>
              <w:right w:val="single" w:sz="4" w:space="0" w:color="auto"/>
            </w:tcBorders>
            <w:shd w:val="clear" w:color="auto" w:fill="auto"/>
            <w:noWrap/>
            <w:vAlign w:val="center"/>
          </w:tcPr>
          <w:p w:rsidR="006174B9" w:rsidRDefault="005B2F69">
            <w:pPr>
              <w:pStyle w:val="5810"/>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-100%</w:t>
            </w: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2210201</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住房公积金</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pStyle w:val="2210"/>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110.00</w:t>
            </w:r>
          </w:p>
        </w:tc>
        <w:tc>
          <w:tcPr>
            <w:tcW w:w="1559" w:type="dxa"/>
            <w:tcBorders>
              <w:top w:val="nil"/>
              <w:left w:val="nil"/>
              <w:bottom w:val="single" w:sz="4" w:space="0" w:color="auto"/>
              <w:right w:val="single" w:sz="4" w:space="0" w:color="auto"/>
            </w:tcBorders>
            <w:shd w:val="clear" w:color="auto" w:fill="auto"/>
            <w:noWrap/>
            <w:vAlign w:val="center"/>
          </w:tcPr>
          <w:p w:rsidR="006174B9" w:rsidRDefault="005B2F69">
            <w:pPr>
              <w:pStyle w:val="2310"/>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110.00</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color w:val="000000"/>
                <w:kern w:val="0"/>
                <w:sz w:val="16"/>
                <w:szCs w:val="16"/>
                <w:shd w:val="solid" w:color="FFFF00" w:fill="FFFFFF"/>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color w:val="000000"/>
                <w:kern w:val="0"/>
                <w:sz w:val="16"/>
                <w:szCs w:val="16"/>
                <w:shd w:val="solid" w:color="FFFF00" w:fill="FFFFFF"/>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shd w:val="solid" w:color="FFFF00" w:fill="FFFFFF"/>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shd w:val="solid" w:color="FFFF00" w:fill="FFFFFF"/>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-110</w:t>
            </w:r>
          </w:p>
        </w:tc>
        <w:tc>
          <w:tcPr>
            <w:tcW w:w="99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b/>
                <w:bCs/>
                <w:color w:val="000000"/>
                <w:kern w:val="0"/>
                <w:sz w:val="16"/>
                <w:szCs w:val="16"/>
              </w:rPr>
              <w:t>-100%</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pStyle w:val="5910"/>
              <w:widowControl/>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-110</w:t>
            </w:r>
          </w:p>
        </w:tc>
        <w:tc>
          <w:tcPr>
            <w:tcW w:w="992" w:type="dxa"/>
            <w:tcBorders>
              <w:top w:val="nil"/>
              <w:left w:val="nil"/>
              <w:bottom w:val="single" w:sz="4" w:space="0" w:color="auto"/>
              <w:right w:val="single" w:sz="4" w:space="0" w:color="auto"/>
            </w:tcBorders>
            <w:shd w:val="clear" w:color="auto" w:fill="auto"/>
            <w:noWrap/>
            <w:vAlign w:val="center"/>
          </w:tcPr>
          <w:p w:rsidR="006174B9" w:rsidRDefault="005B2F69">
            <w:pPr>
              <w:pStyle w:val="6010"/>
              <w:widowControl/>
              <w:jc w:val="right"/>
              <w:rPr>
                <w:rFonts w:ascii="Times New Roman" w:hAnsi="Times New Roman" w:cs="Times New Roman"/>
                <w:color w:val="000000"/>
                <w:kern w:val="0"/>
                <w:sz w:val="16"/>
                <w:szCs w:val="16"/>
              </w:rPr>
            </w:pPr>
            <w:r>
              <w:rPr>
                <w:rFonts w:ascii="Times New Roman" w:hAnsi="Times New Roman" w:cs="Times New Roman"/>
                <w:b/>
                <w:bCs/>
                <w:color w:val="000000"/>
                <w:kern w:val="0"/>
                <w:sz w:val="16"/>
                <w:szCs w:val="16"/>
              </w:rPr>
              <w:t>-100%</w:t>
            </w: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2210202</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提租补贴</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pStyle w:val="2410"/>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pStyle w:val="2510"/>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shd w:val="solid" w:color="FFFF00" w:fill="FFFFFF"/>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shd w:val="solid" w:color="FFFF00" w:fill="FFFFFF"/>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shd w:val="solid" w:color="FFFF00" w:fill="FFFFFF"/>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shd w:val="solid" w:color="FFFF00" w:fill="FFFFFF"/>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pStyle w:val="6110"/>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6174B9" w:rsidRDefault="006174B9">
            <w:pPr>
              <w:pStyle w:val="6210"/>
              <w:widowControl/>
              <w:jc w:val="right"/>
              <w:rPr>
                <w:rFonts w:ascii="Times New Roman" w:hAnsi="Times New Roman" w:cs="Times New Roman"/>
                <w:color w:val="000000"/>
                <w:kern w:val="0"/>
                <w:sz w:val="16"/>
                <w:szCs w:val="16"/>
              </w:rPr>
            </w:pPr>
          </w:p>
        </w:tc>
      </w:tr>
      <w:tr w:rsidR="006174B9">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2210203</w:t>
            </w:r>
          </w:p>
        </w:tc>
        <w:tc>
          <w:tcPr>
            <w:tcW w:w="1843"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购房补贴</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pStyle w:val="2610"/>
              <w:widowControl/>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160</w:t>
            </w:r>
            <w:r>
              <w:rPr>
                <w:rFonts w:ascii="Times New Roman" w:hAnsi="Times New Roman" w:cs="Times New Roman" w:hint="eastAsia"/>
                <w:color w:val="000000"/>
                <w:kern w:val="0"/>
                <w:sz w:val="16"/>
                <w:szCs w:val="16"/>
              </w:rPr>
              <w:t>.00</w:t>
            </w:r>
          </w:p>
        </w:tc>
        <w:tc>
          <w:tcPr>
            <w:tcW w:w="1559" w:type="dxa"/>
            <w:tcBorders>
              <w:top w:val="nil"/>
              <w:left w:val="nil"/>
              <w:bottom w:val="single" w:sz="4" w:space="0" w:color="auto"/>
              <w:right w:val="single" w:sz="4" w:space="0" w:color="auto"/>
            </w:tcBorders>
            <w:shd w:val="clear" w:color="auto" w:fill="auto"/>
            <w:noWrap/>
            <w:vAlign w:val="center"/>
          </w:tcPr>
          <w:p w:rsidR="006174B9" w:rsidRDefault="005B2F69">
            <w:pPr>
              <w:pStyle w:val="2710"/>
              <w:widowControl/>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160</w:t>
            </w:r>
            <w:r>
              <w:rPr>
                <w:rFonts w:ascii="Times New Roman" w:hAnsi="Times New Roman" w:cs="Times New Roman" w:hint="eastAsia"/>
                <w:color w:val="000000"/>
                <w:kern w:val="0"/>
                <w:sz w:val="16"/>
                <w:szCs w:val="16"/>
              </w:rPr>
              <w:t>.00</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color w:val="000000"/>
                <w:kern w:val="0"/>
                <w:sz w:val="16"/>
                <w:szCs w:val="16"/>
                <w:shd w:val="solid" w:color="FFFF00" w:fill="FFFFFF"/>
              </w:rPr>
            </w:pPr>
          </w:p>
        </w:tc>
        <w:tc>
          <w:tcPr>
            <w:tcW w:w="127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color w:val="000000"/>
                <w:kern w:val="0"/>
                <w:sz w:val="16"/>
                <w:szCs w:val="16"/>
                <w:shd w:val="solid" w:color="FFFF00" w:fill="FFFFFF"/>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shd w:val="solid" w:color="FFFF00" w:fill="FFFFFF"/>
              </w:rPr>
            </w:pPr>
          </w:p>
        </w:tc>
        <w:tc>
          <w:tcPr>
            <w:tcW w:w="1559"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color w:val="000000"/>
                <w:kern w:val="0"/>
                <w:sz w:val="16"/>
                <w:szCs w:val="16"/>
                <w:shd w:val="solid" w:color="FFFF00" w:fill="FFFFFF"/>
              </w:rPr>
            </w:pP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-160</w:t>
            </w:r>
          </w:p>
        </w:tc>
        <w:tc>
          <w:tcPr>
            <w:tcW w:w="99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color w:val="000000"/>
                <w:kern w:val="0"/>
                <w:sz w:val="16"/>
                <w:szCs w:val="16"/>
              </w:rPr>
            </w:pPr>
            <w:r>
              <w:rPr>
                <w:rFonts w:ascii="Times New Roman" w:hAnsi="Times New Roman" w:cs="Times New Roman"/>
                <w:b/>
                <w:bCs/>
                <w:color w:val="000000"/>
                <w:kern w:val="0"/>
                <w:sz w:val="16"/>
                <w:szCs w:val="16"/>
              </w:rPr>
              <w:t>-100%</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pStyle w:val="6310"/>
              <w:widowControl/>
              <w:jc w:val="right"/>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-160</w:t>
            </w:r>
          </w:p>
        </w:tc>
        <w:tc>
          <w:tcPr>
            <w:tcW w:w="992" w:type="dxa"/>
            <w:tcBorders>
              <w:top w:val="nil"/>
              <w:left w:val="nil"/>
              <w:bottom w:val="single" w:sz="4" w:space="0" w:color="auto"/>
              <w:right w:val="single" w:sz="4" w:space="0" w:color="auto"/>
            </w:tcBorders>
            <w:shd w:val="clear" w:color="auto" w:fill="auto"/>
            <w:noWrap/>
            <w:vAlign w:val="center"/>
          </w:tcPr>
          <w:p w:rsidR="006174B9" w:rsidRDefault="005B2F69">
            <w:pPr>
              <w:pStyle w:val="6410"/>
              <w:widowControl/>
              <w:jc w:val="right"/>
              <w:rPr>
                <w:rFonts w:ascii="Times New Roman" w:hAnsi="Times New Roman" w:cs="Times New Roman"/>
                <w:color w:val="000000"/>
                <w:kern w:val="0"/>
                <w:sz w:val="16"/>
                <w:szCs w:val="16"/>
              </w:rPr>
            </w:pPr>
            <w:r>
              <w:rPr>
                <w:rFonts w:ascii="Times New Roman" w:hAnsi="Times New Roman" w:cs="Times New Roman"/>
                <w:b/>
                <w:bCs/>
                <w:color w:val="000000"/>
                <w:kern w:val="0"/>
                <w:sz w:val="16"/>
                <w:szCs w:val="16"/>
              </w:rPr>
              <w:t>-100%</w:t>
            </w:r>
          </w:p>
        </w:tc>
      </w:tr>
      <w:tr w:rsidR="006174B9">
        <w:trPr>
          <w:trHeight w:val="255"/>
          <w:jc w:val="center"/>
        </w:trPr>
        <w:tc>
          <w:tcPr>
            <w:tcW w:w="2836" w:type="dxa"/>
            <w:gridSpan w:val="2"/>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合</w:t>
            </w:r>
            <w:r>
              <w:rPr>
                <w:rFonts w:ascii="Times New Roman" w:hAnsi="Times New Roman" w:cs="宋体" w:hint="eastAsia"/>
                <w:b/>
                <w:bCs/>
                <w:color w:val="000000"/>
                <w:kern w:val="0"/>
                <w:sz w:val="16"/>
                <w:szCs w:val="16"/>
              </w:rPr>
              <w:t xml:space="preserve">      </w:t>
            </w:r>
            <w:r>
              <w:rPr>
                <w:rFonts w:ascii="Times New Roman" w:hAnsi="Times New Roman" w:cs="宋体" w:hint="eastAsia"/>
                <w:b/>
                <w:bCs/>
                <w:color w:val="000000"/>
                <w:kern w:val="0"/>
                <w:sz w:val="16"/>
                <w:szCs w:val="16"/>
              </w:rPr>
              <w:t>计</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623.00</w:t>
            </w:r>
          </w:p>
        </w:tc>
        <w:tc>
          <w:tcPr>
            <w:tcW w:w="155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623.00</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rPr>
            </w:pPr>
            <w:r>
              <w:rPr>
                <w:rFonts w:ascii="Times New Roman" w:hAnsi="Times New Roman" w:cs="Times New Roman"/>
                <w:b/>
                <w:sz w:val="16"/>
                <w:szCs w:val="16"/>
              </w:rPr>
              <w:t>374.00</w:t>
            </w:r>
          </w:p>
        </w:tc>
        <w:tc>
          <w:tcPr>
            <w:tcW w:w="127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16"/>
                <w:szCs w:val="16"/>
              </w:rPr>
            </w:pPr>
            <w:r>
              <w:rPr>
                <w:rFonts w:ascii="Times New Roman" w:hAnsi="Times New Roman" w:cs="Times New Roman"/>
                <w:b/>
                <w:sz w:val="16"/>
                <w:szCs w:val="16"/>
              </w:rPr>
              <w:t>371.00</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sz w:val="16"/>
                <w:szCs w:val="16"/>
              </w:rPr>
            </w:pPr>
            <w:r>
              <w:rPr>
                <w:rFonts w:ascii="Times New Roman" w:hAnsi="Times New Roman" w:cs="Times New Roman"/>
                <w:b/>
                <w:sz w:val="16"/>
                <w:szCs w:val="16"/>
              </w:rPr>
              <w:t>3.00</w:t>
            </w:r>
          </w:p>
        </w:tc>
        <w:tc>
          <w:tcPr>
            <w:tcW w:w="1559"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color w:val="000000"/>
                <w:sz w:val="16"/>
                <w:szCs w:val="16"/>
                <w:shd w:val="solid" w:color="FFFF00" w:fill="FFFFFF"/>
              </w:rPr>
            </w:pPr>
            <w:r>
              <w:rPr>
                <w:rFonts w:ascii="Times New Roman" w:hAnsi="Times New Roman" w:cs="Times New Roman"/>
                <w:b/>
                <w:bCs/>
                <w:sz w:val="16"/>
                <w:szCs w:val="16"/>
              </w:rPr>
              <w:t>374.00</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bCs/>
                <w:sz w:val="16"/>
                <w:szCs w:val="16"/>
              </w:rPr>
            </w:pPr>
            <w:r>
              <w:rPr>
                <w:rFonts w:ascii="Times New Roman" w:hAnsi="Times New Roman" w:cs="Times New Roman"/>
                <w:b/>
                <w:bCs/>
                <w:sz w:val="16"/>
                <w:szCs w:val="16"/>
              </w:rPr>
              <w:t>-249</w:t>
            </w:r>
          </w:p>
        </w:tc>
        <w:tc>
          <w:tcPr>
            <w:tcW w:w="99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-39.97%</w:t>
            </w:r>
          </w:p>
        </w:tc>
        <w:tc>
          <w:tcPr>
            <w:tcW w:w="1276" w:type="dxa"/>
            <w:tcBorders>
              <w:top w:val="nil"/>
              <w:left w:val="nil"/>
              <w:bottom w:val="single" w:sz="4" w:space="0" w:color="auto"/>
              <w:right w:val="single" w:sz="4" w:space="0" w:color="auto"/>
            </w:tcBorders>
            <w:shd w:val="clear" w:color="auto" w:fill="auto"/>
            <w:noWrap/>
            <w:vAlign w:val="center"/>
          </w:tcPr>
          <w:p w:rsidR="006174B9" w:rsidRDefault="005B2F69">
            <w:pPr>
              <w:pStyle w:val="4310"/>
              <w:jc w:val="right"/>
              <w:rPr>
                <w:rFonts w:ascii="Times New Roman" w:hAnsi="Times New Roman" w:cs="Times New Roman"/>
                <w:b/>
                <w:bCs/>
                <w:sz w:val="16"/>
                <w:szCs w:val="16"/>
              </w:rPr>
            </w:pPr>
            <w:r>
              <w:rPr>
                <w:rFonts w:ascii="Times New Roman" w:hAnsi="Times New Roman" w:cs="Times New Roman"/>
                <w:b/>
                <w:bCs/>
                <w:sz w:val="16"/>
                <w:szCs w:val="16"/>
              </w:rPr>
              <w:t>-249</w:t>
            </w:r>
          </w:p>
        </w:tc>
        <w:tc>
          <w:tcPr>
            <w:tcW w:w="992" w:type="dxa"/>
            <w:tcBorders>
              <w:top w:val="nil"/>
              <w:left w:val="nil"/>
              <w:bottom w:val="single" w:sz="4" w:space="0" w:color="auto"/>
              <w:right w:val="single" w:sz="4" w:space="0" w:color="auto"/>
            </w:tcBorders>
            <w:shd w:val="clear" w:color="auto" w:fill="auto"/>
            <w:noWrap/>
            <w:vAlign w:val="center"/>
          </w:tcPr>
          <w:p w:rsidR="006174B9" w:rsidRDefault="005B2F69">
            <w:pPr>
              <w:pStyle w:val="4410"/>
              <w:widowControl/>
              <w:jc w:val="right"/>
              <w:rPr>
                <w:rFonts w:ascii="Times New Roman" w:hAnsi="Times New Roman" w:cs="Times New Roman"/>
                <w:b/>
                <w:bCs/>
                <w:color w:val="000000"/>
                <w:kern w:val="0"/>
                <w:sz w:val="16"/>
                <w:szCs w:val="16"/>
              </w:rPr>
            </w:pPr>
            <w:r>
              <w:rPr>
                <w:rFonts w:ascii="Times New Roman" w:hAnsi="Times New Roman" w:cs="Times New Roman"/>
                <w:b/>
                <w:bCs/>
                <w:color w:val="000000"/>
                <w:kern w:val="0"/>
                <w:sz w:val="16"/>
                <w:szCs w:val="16"/>
              </w:rPr>
              <w:t>-39.97%</w:t>
            </w:r>
          </w:p>
        </w:tc>
      </w:tr>
    </w:tbl>
    <w:p w:rsidR="006174B9" w:rsidRDefault="006174B9">
      <w:pPr>
        <w:jc w:val="center"/>
        <w:rPr>
          <w:rFonts w:ascii="Times New Roman" w:eastAsia="方正仿宋_GBK" w:hAnsi="Times New Roman"/>
          <w:sz w:val="32"/>
          <w:szCs w:val="32"/>
        </w:rPr>
      </w:pPr>
    </w:p>
    <w:p w:rsidR="006174B9" w:rsidRDefault="006174B9">
      <w:pPr>
        <w:jc w:val="center"/>
        <w:rPr>
          <w:rFonts w:ascii="Times New Roman" w:eastAsia="方正仿宋_GBK" w:hAnsi="Times New Roman"/>
          <w:sz w:val="32"/>
          <w:szCs w:val="32"/>
        </w:rPr>
        <w:sectPr w:rsidR="006174B9">
          <w:pgSz w:w="16838" w:h="11906" w:orient="landscape"/>
          <w:pgMar w:top="1800" w:right="1440" w:bottom="1800" w:left="1440" w:header="851" w:footer="992" w:gutter="0"/>
          <w:cols w:space="720"/>
          <w:docGrid w:type="lines" w:linePitch="312"/>
        </w:sectPr>
      </w:pPr>
    </w:p>
    <w:tbl>
      <w:tblPr>
        <w:tblW w:w="10065" w:type="dxa"/>
        <w:jc w:val="center"/>
        <w:tblLook w:val="04A0" w:firstRow="1" w:lastRow="0" w:firstColumn="1" w:lastColumn="0" w:noHBand="0" w:noVBand="1"/>
      </w:tblPr>
      <w:tblGrid>
        <w:gridCol w:w="993"/>
        <w:gridCol w:w="3119"/>
        <w:gridCol w:w="2126"/>
        <w:gridCol w:w="1985"/>
        <w:gridCol w:w="1842"/>
      </w:tblGrid>
      <w:tr w:rsidR="006174B9">
        <w:trPr>
          <w:trHeight w:val="270"/>
          <w:jc w:val="center"/>
        </w:trPr>
        <w:tc>
          <w:tcPr>
            <w:tcW w:w="993" w:type="dxa"/>
            <w:tcBorders>
              <w:top w:val="nil"/>
              <w:left w:val="nil"/>
              <w:bottom w:val="nil"/>
              <w:right w:val="nil"/>
            </w:tcBorders>
            <w:shd w:val="clear" w:color="auto" w:fill="auto"/>
            <w:noWrap/>
            <w:vAlign w:val="center"/>
          </w:tcPr>
          <w:p w:rsidR="006174B9" w:rsidRDefault="006174B9">
            <w:pPr>
              <w:widowControl/>
              <w:jc w:val="left"/>
              <w:rPr>
                <w:rFonts w:ascii="Times New Roman" w:hAnsi="Times New Roman" w:cs="宋体"/>
                <w:kern w:val="0"/>
                <w:sz w:val="24"/>
                <w:szCs w:val="24"/>
              </w:rPr>
            </w:pPr>
            <w:bookmarkStart w:id="0" w:name="RANGE!A1:E71"/>
            <w:bookmarkEnd w:id="0"/>
          </w:p>
        </w:tc>
        <w:tc>
          <w:tcPr>
            <w:tcW w:w="3119"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2126"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1985" w:type="dxa"/>
            <w:tcBorders>
              <w:top w:val="nil"/>
              <w:left w:val="nil"/>
              <w:bottom w:val="nil"/>
              <w:right w:val="nil"/>
            </w:tcBorders>
            <w:shd w:val="clear" w:color="auto" w:fill="auto"/>
            <w:noWrap/>
            <w:vAlign w:val="center"/>
          </w:tcPr>
          <w:p w:rsidR="006174B9" w:rsidRDefault="006174B9">
            <w:pPr>
              <w:widowControl/>
              <w:jc w:val="center"/>
              <w:rPr>
                <w:rFonts w:ascii="Times New Roman" w:eastAsia="Times New Roman" w:hAnsi="Times New Roman" w:cs="Times New Roman"/>
                <w:kern w:val="0"/>
                <w:sz w:val="20"/>
                <w:szCs w:val="20"/>
              </w:rPr>
            </w:pPr>
          </w:p>
        </w:tc>
        <w:tc>
          <w:tcPr>
            <w:tcW w:w="1842" w:type="dxa"/>
            <w:tcBorders>
              <w:top w:val="nil"/>
              <w:left w:val="nil"/>
              <w:bottom w:val="nil"/>
              <w:right w:val="nil"/>
            </w:tcBorders>
            <w:shd w:val="clear" w:color="auto" w:fill="auto"/>
            <w:noWrap/>
            <w:vAlign w:val="center"/>
          </w:tcPr>
          <w:p w:rsidR="006174B9" w:rsidRDefault="005B2F69">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6</w:t>
            </w:r>
          </w:p>
        </w:tc>
      </w:tr>
      <w:tr w:rsidR="006174B9">
        <w:trPr>
          <w:trHeight w:val="578"/>
          <w:jc w:val="center"/>
        </w:trPr>
        <w:tc>
          <w:tcPr>
            <w:tcW w:w="10065" w:type="dxa"/>
            <w:gridSpan w:val="5"/>
            <w:tcBorders>
              <w:top w:val="nil"/>
              <w:left w:val="nil"/>
              <w:bottom w:val="nil"/>
              <w:right w:val="nil"/>
            </w:tcBorders>
            <w:shd w:val="clear" w:color="auto" w:fill="auto"/>
            <w:noWrap/>
            <w:vAlign w:val="center"/>
          </w:tcPr>
          <w:p w:rsidR="006174B9" w:rsidRDefault="005B2F69">
            <w:pPr>
              <w:widowControl/>
              <w:jc w:val="center"/>
              <w:rPr>
                <w:rFonts w:ascii="Times New Roman" w:hAnsi="Times New Roman" w:cs="宋体"/>
                <w:kern w:val="0"/>
                <w:sz w:val="36"/>
                <w:szCs w:val="36"/>
              </w:rPr>
            </w:pPr>
            <w:r>
              <w:rPr>
                <w:rFonts w:ascii="Times New Roman" w:hAnsi="Times New Roman" w:cs="宋体" w:hint="eastAsia"/>
                <w:kern w:val="0"/>
                <w:sz w:val="36"/>
                <w:szCs w:val="36"/>
              </w:rPr>
              <w:t>一般公共预算基本支出表</w:t>
            </w:r>
          </w:p>
        </w:tc>
      </w:tr>
      <w:tr w:rsidR="006174B9">
        <w:trPr>
          <w:trHeight w:val="360"/>
          <w:jc w:val="center"/>
        </w:trPr>
        <w:tc>
          <w:tcPr>
            <w:tcW w:w="993" w:type="dxa"/>
            <w:tcBorders>
              <w:top w:val="nil"/>
              <w:left w:val="nil"/>
              <w:bottom w:val="nil"/>
              <w:right w:val="nil"/>
            </w:tcBorders>
            <w:shd w:val="clear" w:color="auto" w:fill="auto"/>
            <w:noWrap/>
            <w:vAlign w:val="center"/>
          </w:tcPr>
          <w:p w:rsidR="006174B9" w:rsidRDefault="006174B9">
            <w:pPr>
              <w:widowControl/>
              <w:jc w:val="center"/>
              <w:rPr>
                <w:rFonts w:ascii="Times New Roman" w:hAnsi="Times New Roman" w:cs="宋体"/>
                <w:kern w:val="0"/>
                <w:szCs w:val="36"/>
              </w:rPr>
            </w:pPr>
          </w:p>
        </w:tc>
        <w:tc>
          <w:tcPr>
            <w:tcW w:w="3119"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2126" w:type="dxa"/>
            <w:tcBorders>
              <w:top w:val="nil"/>
              <w:left w:val="nil"/>
              <w:bottom w:val="single" w:sz="4" w:space="0" w:color="auto"/>
              <w:right w:val="nil"/>
            </w:tcBorders>
            <w:shd w:val="clear" w:color="auto" w:fill="auto"/>
            <w:noWrap/>
            <w:vAlign w:val="center"/>
          </w:tcPr>
          <w:p w:rsidR="006174B9" w:rsidRDefault="005B2F69">
            <w:pPr>
              <w:widowControl/>
              <w:jc w:val="center"/>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985" w:type="dxa"/>
            <w:tcBorders>
              <w:top w:val="nil"/>
              <w:left w:val="nil"/>
              <w:bottom w:val="single" w:sz="4" w:space="0" w:color="auto"/>
              <w:right w:val="nil"/>
            </w:tcBorders>
            <w:shd w:val="clear" w:color="auto" w:fill="auto"/>
            <w:noWrap/>
            <w:vAlign w:val="center"/>
          </w:tcPr>
          <w:p w:rsidR="006174B9" w:rsidRDefault="005B2F69">
            <w:pPr>
              <w:widowControl/>
              <w:jc w:val="center"/>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842" w:type="dxa"/>
            <w:tcBorders>
              <w:top w:val="nil"/>
              <w:left w:val="nil"/>
              <w:bottom w:val="nil"/>
              <w:right w:val="nil"/>
            </w:tcBorders>
            <w:shd w:val="clear" w:color="auto" w:fill="auto"/>
            <w:noWrap/>
            <w:vAlign w:val="center"/>
          </w:tcPr>
          <w:p w:rsidR="006174B9" w:rsidRDefault="005B2F69">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单位：万元</w:t>
            </w:r>
          </w:p>
        </w:tc>
      </w:tr>
      <w:tr w:rsidR="006174B9">
        <w:trPr>
          <w:trHeight w:val="360"/>
          <w:jc w:val="center"/>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kern w:val="0"/>
                <w:sz w:val="18"/>
                <w:szCs w:val="18"/>
              </w:rPr>
            </w:pPr>
            <w:r>
              <w:rPr>
                <w:rFonts w:ascii="Times New Roman" w:hAnsi="Times New Roman" w:cs="宋体" w:hint="eastAsia"/>
                <w:kern w:val="0"/>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本年一般公共预算基本支出</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kern w:val="0"/>
                <w:sz w:val="18"/>
                <w:szCs w:val="18"/>
              </w:rPr>
            </w:pPr>
            <w:r>
              <w:rPr>
                <w:rFonts w:ascii="Times New Roman" w:hAnsi="Times New Roman" w:cs="宋体" w:hint="eastAsia"/>
                <w:kern w:val="0"/>
                <w:sz w:val="18"/>
                <w:szCs w:val="18"/>
              </w:rPr>
              <w:t>科目代码</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kern w:val="0"/>
                <w:sz w:val="18"/>
                <w:szCs w:val="18"/>
              </w:rPr>
            </w:pPr>
            <w:r>
              <w:rPr>
                <w:rFonts w:ascii="Times New Roman" w:hAnsi="Times New Roman" w:cs="宋体" w:hint="eastAsia"/>
                <w:kern w:val="0"/>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合计</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人员经费</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公用经费</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6174B9">
            <w:pPr>
              <w:widowControl/>
              <w:jc w:val="center"/>
              <w:rPr>
                <w:rFonts w:ascii="Times New Roman" w:hAnsi="Times New Roman" w:cs="宋体"/>
                <w:b/>
                <w:bCs/>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b/>
                <w:bCs/>
                <w:kern w:val="0"/>
                <w:sz w:val="18"/>
                <w:szCs w:val="18"/>
              </w:rPr>
            </w:pPr>
            <w:r>
              <w:rPr>
                <w:rFonts w:ascii="Times New Roman" w:hAnsi="Times New Roman" w:cs="宋体" w:hint="eastAsia"/>
                <w:b/>
                <w:bCs/>
                <w:kern w:val="0"/>
                <w:sz w:val="18"/>
                <w:szCs w:val="18"/>
              </w:rPr>
              <w:t>昆山海关综合技术服务中心</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371.00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253.00</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118.00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301</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工资福利支出</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253.00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253.00</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b/>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30101</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基本工资</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82.96</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82.96</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宋体" w:cs="宋体"/>
                <w:color w:val="000000"/>
                <w:sz w:val="16"/>
                <w:szCs w:val="16"/>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30102</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津贴补贴</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28.89</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28.89</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宋体" w:cs="宋体"/>
                <w:color w:val="000000"/>
                <w:sz w:val="16"/>
                <w:szCs w:val="16"/>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30103</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奖金</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宋体" w:cs="宋体"/>
                <w:color w:val="000000"/>
                <w:sz w:val="16"/>
                <w:szCs w:val="16"/>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30106</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伙食补助费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30107</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绩效工资</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141.15</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141.15</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30108</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机关事业单位基本养老保险缴费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30109</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职业年金缴费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30110</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职工基本医疗保险缴费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30111</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公务员医疗补助缴费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30112</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其他社会保障缴费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30113</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住房公积金</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shd w:val="solid" w:color="FFFF00" w:fill="FFFFFF"/>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shd w:val="solid" w:color="FFFF00" w:fill="FFFFFF"/>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30114</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医疗费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30199</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其他工资福利支出</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kern w:val="0"/>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302</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商品和服务支出</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宋体" w:cs="宋体"/>
                <w:b/>
                <w:bCs/>
                <w:color w:val="000000"/>
                <w:sz w:val="16"/>
                <w:szCs w:val="16"/>
              </w:rPr>
            </w:pPr>
            <w:r>
              <w:rPr>
                <w:b/>
                <w:bCs/>
                <w:color w:val="000000"/>
                <w:sz w:val="16"/>
                <w:szCs w:val="16"/>
              </w:rPr>
              <w:t>113.00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宋体" w:cs="宋体"/>
                <w:b/>
                <w:bCs/>
                <w:color w:val="000000"/>
                <w:sz w:val="16"/>
                <w:szCs w:val="16"/>
              </w:rPr>
            </w:pPr>
            <w:r>
              <w:rPr>
                <w:rFonts w:hint="eastAsia"/>
                <w:b/>
                <w:bCs/>
                <w:color w:val="000000"/>
                <w:sz w:val="16"/>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宋体" w:cs="宋体"/>
                <w:b/>
                <w:bCs/>
                <w:color w:val="000000"/>
                <w:sz w:val="16"/>
                <w:szCs w:val="16"/>
              </w:rPr>
            </w:pPr>
            <w:r>
              <w:rPr>
                <w:b/>
                <w:bCs/>
                <w:color w:val="000000"/>
                <w:sz w:val="16"/>
                <w:szCs w:val="16"/>
              </w:rPr>
              <w:t>113.00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30201</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办公费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5.00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5.00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30202</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印刷费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1.00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1.00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30203</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咨询费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shd w:val="solid" w:color="FFFF00" w:fill="FFFFFF"/>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rPr>
                <w:rFonts w:ascii="Times New Roman" w:hAnsi="Times New Roman" w:cs="Times New Roman"/>
                <w:sz w:val="20"/>
                <w:szCs w:val="20"/>
                <w:shd w:val="solid" w:color="FFFF00" w:fill="FFFFFF"/>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shd w:val="solid" w:color="FFFF00" w:fill="FFFFFF"/>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30204</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手续费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30205</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水费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30206</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电费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30207</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邮电费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5.50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5.50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30208</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取暖费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30209</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物业管理费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3.00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3.00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30211</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差旅费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8.00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8.00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30212</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因公出国（境）费用</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30213</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维修（护）费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40.50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40.50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30214</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租赁费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30215</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会议费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30216</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培训费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30217</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公务接待费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kern w:val="0"/>
                <w:sz w:val="18"/>
                <w:szCs w:val="18"/>
              </w:rPr>
            </w:pPr>
            <w:r>
              <w:rPr>
                <w:rFonts w:ascii="Times New Roman" w:hAnsi="Times New Roman" w:cs="宋体" w:hint="eastAsia"/>
                <w:kern w:val="0"/>
                <w:sz w:val="18"/>
                <w:szCs w:val="18"/>
              </w:rPr>
              <w:lastRenderedPageBreak/>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本年一般公共预算基本支出</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kern w:val="0"/>
                <w:sz w:val="18"/>
                <w:szCs w:val="18"/>
              </w:rPr>
            </w:pPr>
            <w:r>
              <w:rPr>
                <w:rFonts w:ascii="Times New Roman" w:hAnsi="Times New Roman" w:cs="宋体" w:hint="eastAsia"/>
                <w:kern w:val="0"/>
                <w:sz w:val="18"/>
                <w:szCs w:val="18"/>
              </w:rPr>
              <w:t>科目代码</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kern w:val="0"/>
                <w:sz w:val="18"/>
                <w:szCs w:val="18"/>
              </w:rPr>
            </w:pPr>
            <w:r>
              <w:rPr>
                <w:rFonts w:ascii="Times New Roman" w:hAnsi="Times New Roman" w:cs="宋体" w:hint="eastAsia"/>
                <w:kern w:val="0"/>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合计</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人员经费</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公用经费</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30218</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专用材料费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4.00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4.00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30224</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被装购置费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30225</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专用燃料费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30226</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劳务费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12.00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sz w:val="20"/>
                <w:szCs w:val="20"/>
              </w:rPr>
              <w:t>12.00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30227</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委托业务费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12.00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12.00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30228</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工会经费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2.00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2.00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30229</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福利费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10.00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10.00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30231</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公务用车运行维护费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30239</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其他交通费用</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30240</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税金及附加费用</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30299</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其他商品和服务支出</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10.00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10.00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303</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对个人和家庭的补助</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30301</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离休费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30302</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退休费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30303</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退职（役）费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30304</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抚恤金</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30305</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生活补助</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30307</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医疗费补助</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30308</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助学金</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30309</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奖励金</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30311</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代缴社会保险费</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30399</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其他对个人和家庭的补助</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310</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资本性支出</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hint="eastAsia"/>
                <w:b/>
                <w:sz w:val="20"/>
                <w:szCs w:val="20"/>
              </w:rPr>
              <w:t>5.00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hint="eastAsia"/>
                <w:b/>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hint="eastAsia"/>
                <w:b/>
                <w:sz w:val="20"/>
                <w:szCs w:val="20"/>
              </w:rPr>
              <w:t>5.00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31001</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房屋建筑物购建</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31002</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办公设备购置</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5.00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sz w:val="20"/>
                <w:szCs w:val="20"/>
              </w:rPr>
            </w:pPr>
            <w:r>
              <w:rPr>
                <w:rFonts w:ascii="Times New Roman" w:hAnsi="Times New Roman" w:cs="Times New Roman" w:hint="eastAsia"/>
                <w:sz w:val="20"/>
                <w:szCs w:val="20"/>
              </w:rPr>
              <w:t>5.00</w:t>
            </w: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31003</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专用设备购置</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widowControl/>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31006</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大型修缮</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31007</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信息网络及软件购置更新</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31013</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公务用车购置</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31019</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其他交通工具购置</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31021</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文物和陈列品购置</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31022</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无形资产购置</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31099</w:t>
            </w:r>
          </w:p>
        </w:tc>
        <w:tc>
          <w:tcPr>
            <w:tcW w:w="3119"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18"/>
                <w:szCs w:val="18"/>
              </w:rPr>
            </w:pPr>
            <w:r>
              <w:rPr>
                <w:rFonts w:ascii="Times New Roman" w:hAnsi="Times New Roman" w:cs="宋体" w:hint="eastAsia"/>
                <w:kern w:val="0"/>
                <w:sz w:val="18"/>
                <w:szCs w:val="18"/>
              </w:rPr>
              <w:t>其他资本性支出</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985"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c>
          <w:tcPr>
            <w:tcW w:w="1842" w:type="dxa"/>
            <w:tcBorders>
              <w:top w:val="nil"/>
              <w:left w:val="nil"/>
              <w:bottom w:val="single" w:sz="4" w:space="0" w:color="auto"/>
              <w:right w:val="single" w:sz="4" w:space="0" w:color="auto"/>
            </w:tcBorders>
            <w:shd w:val="clear" w:color="auto" w:fill="auto"/>
            <w:noWrap/>
            <w:vAlign w:val="center"/>
          </w:tcPr>
          <w:p w:rsidR="006174B9" w:rsidRDefault="006174B9">
            <w:pPr>
              <w:jc w:val="right"/>
              <w:rPr>
                <w:rFonts w:ascii="Times New Roman" w:hAnsi="Times New Roman" w:cs="Times New Roman"/>
                <w:sz w:val="20"/>
                <w:szCs w:val="20"/>
              </w:rPr>
            </w:pPr>
          </w:p>
        </w:tc>
      </w:tr>
      <w:tr w:rsidR="006174B9">
        <w:trPr>
          <w:trHeight w:val="360"/>
          <w:jc w:val="center"/>
        </w:trPr>
        <w:tc>
          <w:tcPr>
            <w:tcW w:w="4112" w:type="dxa"/>
            <w:gridSpan w:val="2"/>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b/>
                <w:bCs/>
                <w:kern w:val="0"/>
                <w:sz w:val="18"/>
                <w:szCs w:val="18"/>
              </w:rPr>
            </w:pPr>
            <w:r>
              <w:rPr>
                <w:rFonts w:ascii="Times New Roman" w:hAnsi="Times New Roman" w:cs="宋体" w:hint="eastAsia"/>
                <w:b/>
                <w:bCs/>
                <w:kern w:val="0"/>
                <w:sz w:val="18"/>
                <w:szCs w:val="18"/>
              </w:rPr>
              <w:t>合</w:t>
            </w:r>
            <w:r>
              <w:rPr>
                <w:rFonts w:ascii="Times New Roman" w:hAnsi="Times New Roman" w:cs="宋体" w:hint="eastAsia"/>
                <w:b/>
                <w:bCs/>
                <w:kern w:val="0"/>
                <w:sz w:val="18"/>
                <w:szCs w:val="18"/>
              </w:rPr>
              <w:t xml:space="preserve">  </w:t>
            </w:r>
            <w:r>
              <w:rPr>
                <w:rFonts w:ascii="Times New Roman" w:hAnsi="Times New Roman" w:cs="宋体" w:hint="eastAsia"/>
                <w:b/>
                <w:bCs/>
                <w:kern w:val="0"/>
                <w:sz w:val="18"/>
                <w:szCs w:val="18"/>
              </w:rPr>
              <w:t>计</w:t>
            </w:r>
          </w:p>
        </w:tc>
        <w:tc>
          <w:tcPr>
            <w:tcW w:w="2126"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371.00</w:t>
            </w:r>
          </w:p>
        </w:tc>
        <w:tc>
          <w:tcPr>
            <w:tcW w:w="1985"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b/>
                <w:sz w:val="20"/>
                <w:szCs w:val="20"/>
              </w:rPr>
              <w:t>253.00</w:t>
            </w:r>
          </w:p>
        </w:tc>
        <w:tc>
          <w:tcPr>
            <w:tcW w:w="1842" w:type="dxa"/>
            <w:tcBorders>
              <w:top w:val="nil"/>
              <w:left w:val="nil"/>
              <w:bottom w:val="single" w:sz="4" w:space="0" w:color="auto"/>
              <w:right w:val="single" w:sz="4" w:space="0" w:color="auto"/>
            </w:tcBorders>
            <w:shd w:val="clear" w:color="auto" w:fill="auto"/>
            <w:noWrap/>
            <w:vAlign w:val="center"/>
          </w:tcPr>
          <w:p w:rsidR="006174B9" w:rsidRDefault="005B2F69">
            <w:pPr>
              <w:jc w:val="right"/>
              <w:rPr>
                <w:rFonts w:ascii="Times New Roman" w:hAnsi="Times New Roman" w:cs="Times New Roman"/>
                <w:b/>
                <w:sz w:val="20"/>
                <w:szCs w:val="20"/>
              </w:rPr>
            </w:pPr>
            <w:r>
              <w:rPr>
                <w:rFonts w:ascii="Times New Roman" w:hAnsi="Times New Roman" w:cs="Times New Roman" w:hint="eastAsia"/>
                <w:b/>
                <w:sz w:val="20"/>
                <w:szCs w:val="20"/>
              </w:rPr>
              <w:t>11</w:t>
            </w:r>
            <w:r>
              <w:rPr>
                <w:rFonts w:ascii="Times New Roman" w:hAnsi="Times New Roman" w:cs="Times New Roman"/>
                <w:b/>
                <w:sz w:val="20"/>
                <w:szCs w:val="20"/>
              </w:rPr>
              <w:t>8</w:t>
            </w:r>
            <w:r>
              <w:rPr>
                <w:rFonts w:ascii="Times New Roman" w:hAnsi="Times New Roman" w:cs="Times New Roman" w:hint="eastAsia"/>
                <w:b/>
                <w:sz w:val="20"/>
                <w:szCs w:val="20"/>
              </w:rPr>
              <w:t>.00</w:t>
            </w:r>
          </w:p>
        </w:tc>
      </w:tr>
    </w:tbl>
    <w:p w:rsidR="006174B9" w:rsidRDefault="006174B9">
      <w:pPr>
        <w:jc w:val="center"/>
        <w:rPr>
          <w:rFonts w:ascii="Times New Roman" w:eastAsia="方正仿宋_GBK" w:hAnsi="Times New Roman"/>
          <w:sz w:val="32"/>
          <w:szCs w:val="32"/>
        </w:rPr>
        <w:sectPr w:rsidR="006174B9">
          <w:pgSz w:w="11906" w:h="16838"/>
          <w:pgMar w:top="1440" w:right="1800" w:bottom="1440" w:left="1800" w:header="851" w:footer="992" w:gutter="0"/>
          <w:cols w:space="720"/>
          <w:docGrid w:type="lines" w:linePitch="312"/>
        </w:sectPr>
      </w:pPr>
    </w:p>
    <w:tbl>
      <w:tblPr>
        <w:tblW w:w="13892" w:type="dxa"/>
        <w:jc w:val="center"/>
        <w:tblLook w:val="04A0" w:firstRow="1" w:lastRow="0" w:firstColumn="1" w:lastColumn="0" w:noHBand="0" w:noVBand="1"/>
      </w:tblPr>
      <w:tblGrid>
        <w:gridCol w:w="2977"/>
        <w:gridCol w:w="3402"/>
        <w:gridCol w:w="2552"/>
        <w:gridCol w:w="2551"/>
        <w:gridCol w:w="2410"/>
      </w:tblGrid>
      <w:tr w:rsidR="006174B9">
        <w:trPr>
          <w:trHeight w:val="315"/>
          <w:jc w:val="center"/>
        </w:trPr>
        <w:tc>
          <w:tcPr>
            <w:tcW w:w="2977" w:type="dxa"/>
            <w:tcBorders>
              <w:top w:val="nil"/>
              <w:left w:val="nil"/>
              <w:bottom w:val="nil"/>
              <w:right w:val="nil"/>
            </w:tcBorders>
            <w:shd w:val="clear" w:color="auto" w:fill="auto"/>
            <w:vAlign w:val="center"/>
          </w:tcPr>
          <w:p w:rsidR="006174B9" w:rsidRDefault="006174B9">
            <w:pPr>
              <w:widowControl/>
              <w:jc w:val="left"/>
              <w:rPr>
                <w:rFonts w:ascii="Times New Roman" w:hAnsi="Times New Roman" w:cs="宋体"/>
                <w:kern w:val="0"/>
                <w:sz w:val="24"/>
                <w:szCs w:val="24"/>
              </w:rPr>
            </w:pPr>
          </w:p>
        </w:tc>
        <w:tc>
          <w:tcPr>
            <w:tcW w:w="3402" w:type="dxa"/>
            <w:tcBorders>
              <w:top w:val="nil"/>
              <w:left w:val="nil"/>
              <w:bottom w:val="nil"/>
              <w:right w:val="nil"/>
            </w:tcBorders>
            <w:shd w:val="clear" w:color="auto" w:fill="auto"/>
            <w:vAlign w:val="center"/>
          </w:tcPr>
          <w:p w:rsidR="006174B9" w:rsidRDefault="006174B9">
            <w:pPr>
              <w:widowControl/>
              <w:jc w:val="left"/>
              <w:rPr>
                <w:rFonts w:ascii="Times New Roman" w:eastAsia="Times New Roman" w:hAnsi="Times New Roman" w:cs="Times New Roman"/>
                <w:kern w:val="0"/>
                <w:sz w:val="20"/>
                <w:szCs w:val="20"/>
              </w:rPr>
            </w:pPr>
          </w:p>
        </w:tc>
        <w:tc>
          <w:tcPr>
            <w:tcW w:w="2552" w:type="dxa"/>
            <w:tcBorders>
              <w:top w:val="nil"/>
              <w:left w:val="nil"/>
              <w:bottom w:val="nil"/>
              <w:right w:val="nil"/>
            </w:tcBorders>
            <w:shd w:val="clear" w:color="auto" w:fill="auto"/>
            <w:vAlign w:val="center"/>
          </w:tcPr>
          <w:p w:rsidR="006174B9" w:rsidRDefault="006174B9">
            <w:pPr>
              <w:widowControl/>
              <w:jc w:val="left"/>
              <w:rPr>
                <w:rFonts w:ascii="Times New Roman" w:eastAsia="Times New Roman" w:hAnsi="Times New Roman" w:cs="Times New Roman"/>
                <w:kern w:val="0"/>
                <w:sz w:val="20"/>
                <w:szCs w:val="20"/>
              </w:rPr>
            </w:pPr>
          </w:p>
        </w:tc>
        <w:tc>
          <w:tcPr>
            <w:tcW w:w="2551" w:type="dxa"/>
            <w:tcBorders>
              <w:top w:val="nil"/>
              <w:left w:val="nil"/>
              <w:bottom w:val="nil"/>
              <w:right w:val="nil"/>
            </w:tcBorders>
            <w:shd w:val="clear" w:color="auto" w:fill="auto"/>
            <w:vAlign w:val="center"/>
          </w:tcPr>
          <w:p w:rsidR="006174B9" w:rsidRDefault="006174B9">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center"/>
          </w:tcPr>
          <w:p w:rsidR="006174B9" w:rsidRDefault="005B2F69">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hint="eastAsia"/>
                <w:kern w:val="0"/>
                <w:sz w:val="20"/>
                <w:szCs w:val="20"/>
              </w:rPr>
              <w:t>7</w:t>
            </w:r>
          </w:p>
        </w:tc>
      </w:tr>
      <w:tr w:rsidR="006174B9">
        <w:trPr>
          <w:trHeight w:val="645"/>
          <w:jc w:val="center"/>
        </w:trPr>
        <w:tc>
          <w:tcPr>
            <w:tcW w:w="13892" w:type="dxa"/>
            <w:gridSpan w:val="5"/>
            <w:tcBorders>
              <w:top w:val="nil"/>
              <w:left w:val="nil"/>
              <w:bottom w:val="nil"/>
              <w:right w:val="nil"/>
            </w:tcBorders>
            <w:shd w:val="clear" w:color="auto" w:fill="auto"/>
            <w:vAlign w:val="center"/>
          </w:tcPr>
          <w:p w:rsidR="006174B9" w:rsidRDefault="005B2F69">
            <w:pPr>
              <w:widowControl/>
              <w:jc w:val="center"/>
              <w:rPr>
                <w:rFonts w:ascii="Times New Roman" w:hAnsi="Times New Roman" w:cs="宋体"/>
                <w:kern w:val="0"/>
                <w:sz w:val="36"/>
                <w:szCs w:val="36"/>
              </w:rPr>
            </w:pPr>
            <w:r>
              <w:rPr>
                <w:rFonts w:ascii="Times New Roman" w:hAnsi="Times New Roman" w:cs="宋体" w:hint="eastAsia"/>
                <w:kern w:val="0"/>
                <w:sz w:val="36"/>
                <w:szCs w:val="36"/>
              </w:rPr>
              <w:t>政府性基金预算支出表</w:t>
            </w:r>
          </w:p>
        </w:tc>
      </w:tr>
      <w:tr w:rsidR="006174B9">
        <w:trPr>
          <w:trHeight w:val="435"/>
          <w:jc w:val="center"/>
        </w:trPr>
        <w:tc>
          <w:tcPr>
            <w:tcW w:w="2977" w:type="dxa"/>
            <w:tcBorders>
              <w:top w:val="nil"/>
              <w:left w:val="nil"/>
              <w:bottom w:val="nil"/>
              <w:right w:val="nil"/>
            </w:tcBorders>
            <w:shd w:val="clear" w:color="auto" w:fill="auto"/>
            <w:noWrap/>
            <w:vAlign w:val="center"/>
          </w:tcPr>
          <w:p w:rsidR="006174B9" w:rsidRDefault="006174B9">
            <w:pPr>
              <w:widowControl/>
              <w:jc w:val="center"/>
              <w:rPr>
                <w:rFonts w:ascii="Times New Roman" w:hAnsi="Times New Roman" w:cs="宋体"/>
                <w:kern w:val="0"/>
                <w:sz w:val="36"/>
                <w:szCs w:val="36"/>
              </w:rPr>
            </w:pPr>
          </w:p>
        </w:tc>
        <w:tc>
          <w:tcPr>
            <w:tcW w:w="3402"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nil"/>
            </w:tcBorders>
            <w:shd w:val="clear" w:color="auto" w:fill="auto"/>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nil"/>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单位：万元</w:t>
            </w:r>
          </w:p>
        </w:tc>
      </w:tr>
      <w:tr w:rsidR="006174B9">
        <w:trPr>
          <w:trHeight w:hRule="exact" w:val="567"/>
          <w:jc w:val="center"/>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2025</w:t>
            </w:r>
            <w:r>
              <w:rPr>
                <w:rFonts w:ascii="Times New Roman" w:hAnsi="Times New Roman" w:cs="宋体" w:hint="eastAsia"/>
                <w:kern w:val="0"/>
                <w:sz w:val="20"/>
                <w:szCs w:val="20"/>
              </w:rPr>
              <w:t>年政府性基金预算支出</w:t>
            </w:r>
          </w:p>
        </w:tc>
      </w:tr>
      <w:tr w:rsidR="006174B9">
        <w:trPr>
          <w:trHeight w:hRule="exact" w:val="567"/>
          <w:jc w:val="center"/>
        </w:trPr>
        <w:tc>
          <w:tcPr>
            <w:tcW w:w="2977" w:type="dxa"/>
            <w:vMerge/>
            <w:tcBorders>
              <w:top w:val="single" w:sz="4" w:space="0" w:color="auto"/>
              <w:left w:val="single" w:sz="4" w:space="0" w:color="auto"/>
              <w:bottom w:val="single" w:sz="4" w:space="0" w:color="auto"/>
              <w:right w:val="single" w:sz="4" w:space="0" w:color="auto"/>
            </w:tcBorders>
            <w:vAlign w:val="center"/>
          </w:tcPr>
          <w:p w:rsidR="006174B9" w:rsidRDefault="006174B9"/>
        </w:tc>
        <w:tc>
          <w:tcPr>
            <w:tcW w:w="3402" w:type="dxa"/>
            <w:vMerge/>
            <w:tcBorders>
              <w:top w:val="nil"/>
              <w:left w:val="single" w:sz="4" w:space="0" w:color="auto"/>
              <w:bottom w:val="single" w:sz="4" w:space="0" w:color="auto"/>
              <w:right w:val="single" w:sz="4" w:space="0" w:color="auto"/>
            </w:tcBorders>
            <w:vAlign w:val="center"/>
          </w:tcPr>
          <w:p w:rsidR="006174B9" w:rsidRDefault="006174B9"/>
        </w:tc>
        <w:tc>
          <w:tcPr>
            <w:tcW w:w="2552" w:type="dxa"/>
            <w:tcBorders>
              <w:top w:val="nil"/>
              <w:left w:val="nil"/>
              <w:bottom w:val="nil"/>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项目支出</w:t>
            </w:r>
          </w:p>
        </w:tc>
      </w:tr>
      <w:tr w:rsidR="006174B9">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6174B9">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6174B9">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6174B9">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6174B9">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6174B9">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6174B9">
        <w:trPr>
          <w:trHeight w:hRule="exact" w:val="567"/>
          <w:jc w:val="center"/>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6174B9" w:rsidRDefault="005B2F69">
            <w:pPr>
              <w:widowControl/>
              <w:jc w:val="center"/>
              <w:rPr>
                <w:rFonts w:ascii="Times New Roman" w:hAnsi="Times New Roman" w:cs="宋体"/>
                <w:kern w:val="0"/>
                <w:sz w:val="20"/>
                <w:szCs w:val="20"/>
              </w:rPr>
            </w:pPr>
            <w:r>
              <w:rPr>
                <w:rFonts w:ascii="Times New Roman" w:hAnsi="Times New Roman" w:cs="宋体" w:hint="eastAsia"/>
                <w:kern w:val="0"/>
                <w:sz w:val="20"/>
                <w:szCs w:val="20"/>
              </w:rPr>
              <w:t>合</w:t>
            </w:r>
            <w:r>
              <w:rPr>
                <w:rFonts w:ascii="Times New Roman" w:hAnsi="Times New Roman" w:cs="宋体" w:hint="eastAsia"/>
                <w:kern w:val="0"/>
                <w:sz w:val="20"/>
                <w:szCs w:val="20"/>
              </w:rPr>
              <w:t xml:space="preserve">  </w:t>
            </w:r>
            <w:r>
              <w:rPr>
                <w:rFonts w:ascii="Times New Roman" w:hAnsi="Times New Roman" w:cs="宋体" w:hint="eastAsia"/>
                <w:kern w:val="0"/>
                <w:sz w:val="20"/>
                <w:szCs w:val="20"/>
              </w:rPr>
              <w:t>计</w:t>
            </w:r>
          </w:p>
        </w:tc>
        <w:tc>
          <w:tcPr>
            <w:tcW w:w="255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bl>
    <w:p w:rsidR="006174B9" w:rsidRDefault="005B2F69">
      <w:pP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注</w:t>
      </w:r>
      <w:r>
        <w:rPr>
          <w:rFonts w:ascii="Times New Roman" w:eastAsia="方正仿宋_GBK" w:hAnsi="Times New Roman" w:cs="Times New Roman"/>
          <w:sz w:val="24"/>
          <w:szCs w:val="24"/>
        </w:rPr>
        <w:t>：海关总署无</w:t>
      </w:r>
      <w:r>
        <w:rPr>
          <w:rFonts w:ascii="Times New Roman" w:eastAsia="方正仿宋_GBK" w:hAnsi="Times New Roman" w:cs="Times New Roman" w:hint="eastAsia"/>
          <w:sz w:val="24"/>
          <w:szCs w:val="24"/>
        </w:rPr>
        <w:t>政府性基金预算拨款收入，也无使用政府性基金安排的支出，故本表无数据。</w:t>
      </w:r>
    </w:p>
    <w:p w:rsidR="006174B9" w:rsidRDefault="006174B9">
      <w:pPr>
        <w:jc w:val="center"/>
        <w:rPr>
          <w:rFonts w:ascii="Times New Roman" w:eastAsia="方正仿宋_GBK" w:hAnsi="Times New Roman"/>
          <w:sz w:val="32"/>
          <w:szCs w:val="32"/>
        </w:rPr>
      </w:pPr>
    </w:p>
    <w:p w:rsidR="006174B9" w:rsidRDefault="006174B9">
      <w:pPr>
        <w:jc w:val="center"/>
        <w:rPr>
          <w:rFonts w:ascii="Times New Roman" w:eastAsia="方正仿宋_GBK" w:hAnsi="Times New Roman"/>
          <w:sz w:val="32"/>
          <w:szCs w:val="32"/>
        </w:rPr>
      </w:pPr>
    </w:p>
    <w:tbl>
      <w:tblPr>
        <w:tblW w:w="14080" w:type="dxa"/>
        <w:jc w:val="center"/>
        <w:tblLook w:val="04A0" w:firstRow="1" w:lastRow="0" w:firstColumn="1" w:lastColumn="0" w:noHBand="0" w:noVBand="1"/>
      </w:tblPr>
      <w:tblGrid>
        <w:gridCol w:w="3119"/>
        <w:gridCol w:w="3402"/>
        <w:gridCol w:w="2551"/>
        <w:gridCol w:w="2410"/>
        <w:gridCol w:w="2598"/>
      </w:tblGrid>
      <w:tr w:rsidR="006174B9">
        <w:trPr>
          <w:trHeight w:val="285"/>
          <w:jc w:val="center"/>
        </w:trPr>
        <w:tc>
          <w:tcPr>
            <w:tcW w:w="3119" w:type="dxa"/>
            <w:tcBorders>
              <w:top w:val="nil"/>
              <w:left w:val="nil"/>
              <w:bottom w:val="nil"/>
              <w:right w:val="nil"/>
            </w:tcBorders>
            <w:shd w:val="clear" w:color="auto" w:fill="auto"/>
            <w:noWrap/>
            <w:vAlign w:val="center"/>
          </w:tcPr>
          <w:p w:rsidR="006174B9" w:rsidRDefault="006174B9">
            <w:pPr>
              <w:widowControl/>
              <w:jc w:val="left"/>
              <w:rPr>
                <w:rFonts w:ascii="Times New Roman" w:hAnsi="Times New Roman" w:cs="宋体"/>
                <w:kern w:val="0"/>
                <w:sz w:val="24"/>
                <w:szCs w:val="24"/>
              </w:rPr>
            </w:pPr>
          </w:p>
        </w:tc>
        <w:tc>
          <w:tcPr>
            <w:tcW w:w="3402"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2551"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center"/>
          </w:tcPr>
          <w:p w:rsidR="006174B9" w:rsidRDefault="006174B9">
            <w:pPr>
              <w:widowControl/>
              <w:jc w:val="left"/>
              <w:rPr>
                <w:rFonts w:ascii="Times New Roman" w:eastAsia="Times New Roman" w:hAnsi="Times New Roman" w:cs="Times New Roman"/>
                <w:kern w:val="0"/>
                <w:sz w:val="20"/>
                <w:szCs w:val="20"/>
              </w:rPr>
            </w:pPr>
          </w:p>
        </w:tc>
        <w:tc>
          <w:tcPr>
            <w:tcW w:w="2598" w:type="dxa"/>
            <w:tcBorders>
              <w:top w:val="nil"/>
              <w:left w:val="nil"/>
              <w:bottom w:val="nil"/>
              <w:right w:val="nil"/>
            </w:tcBorders>
            <w:shd w:val="clear" w:color="auto" w:fill="auto"/>
            <w:noWrap/>
            <w:vAlign w:val="center"/>
          </w:tcPr>
          <w:p w:rsidR="006174B9" w:rsidRDefault="005B2F69">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hint="eastAsia"/>
                <w:kern w:val="0"/>
                <w:sz w:val="20"/>
                <w:szCs w:val="20"/>
              </w:rPr>
              <w:t>8</w:t>
            </w:r>
          </w:p>
        </w:tc>
      </w:tr>
      <w:tr w:rsidR="006174B9">
        <w:trPr>
          <w:trHeight w:val="450"/>
          <w:jc w:val="center"/>
        </w:trPr>
        <w:tc>
          <w:tcPr>
            <w:tcW w:w="14080" w:type="dxa"/>
            <w:gridSpan w:val="5"/>
            <w:tcBorders>
              <w:top w:val="nil"/>
              <w:left w:val="nil"/>
              <w:bottom w:val="nil"/>
              <w:right w:val="nil"/>
            </w:tcBorders>
            <w:shd w:val="clear" w:color="auto" w:fill="auto"/>
            <w:vAlign w:val="center"/>
          </w:tcPr>
          <w:p w:rsidR="006174B9" w:rsidRDefault="005B2F69">
            <w:pPr>
              <w:widowControl/>
              <w:jc w:val="center"/>
              <w:rPr>
                <w:rFonts w:ascii="Times New Roman" w:hAnsi="Times New Roman" w:cs="宋体"/>
                <w:kern w:val="0"/>
                <w:sz w:val="36"/>
                <w:szCs w:val="36"/>
              </w:rPr>
            </w:pPr>
            <w:r>
              <w:rPr>
                <w:rFonts w:ascii="Times New Roman" w:hAnsi="Times New Roman" w:cs="宋体" w:hint="eastAsia"/>
                <w:kern w:val="0"/>
                <w:sz w:val="36"/>
                <w:szCs w:val="36"/>
              </w:rPr>
              <w:t>国有资本经营预算支出表</w:t>
            </w:r>
          </w:p>
        </w:tc>
      </w:tr>
      <w:tr w:rsidR="006174B9">
        <w:trPr>
          <w:trHeight w:val="285"/>
          <w:jc w:val="center"/>
        </w:trPr>
        <w:tc>
          <w:tcPr>
            <w:tcW w:w="3119"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3402" w:type="dxa"/>
            <w:tcBorders>
              <w:top w:val="nil"/>
              <w:left w:val="nil"/>
              <w:bottom w:val="single" w:sz="4" w:space="0" w:color="auto"/>
              <w:right w:val="nil"/>
            </w:tcBorders>
            <w:shd w:val="clear" w:color="auto" w:fill="auto"/>
            <w:noWrap/>
            <w:vAlign w:val="center"/>
          </w:tcPr>
          <w:p w:rsidR="006174B9" w:rsidRDefault="005B2F69">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551" w:type="dxa"/>
            <w:tcBorders>
              <w:top w:val="nil"/>
              <w:left w:val="nil"/>
              <w:bottom w:val="single" w:sz="4" w:space="0" w:color="auto"/>
              <w:right w:val="nil"/>
            </w:tcBorders>
            <w:shd w:val="clear" w:color="auto" w:fill="auto"/>
            <w:noWrap/>
            <w:vAlign w:val="center"/>
          </w:tcPr>
          <w:p w:rsidR="006174B9" w:rsidRDefault="005B2F69">
            <w:pPr>
              <w:widowControl/>
              <w:jc w:val="center"/>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410" w:type="dxa"/>
            <w:tcBorders>
              <w:top w:val="nil"/>
              <w:left w:val="nil"/>
              <w:bottom w:val="single" w:sz="4" w:space="0" w:color="auto"/>
              <w:right w:val="nil"/>
            </w:tcBorders>
            <w:shd w:val="clear" w:color="auto" w:fill="auto"/>
            <w:noWrap/>
            <w:vAlign w:val="center"/>
          </w:tcPr>
          <w:p w:rsidR="006174B9" w:rsidRDefault="005B2F69">
            <w:pPr>
              <w:widowControl/>
              <w:jc w:val="center"/>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598" w:type="dxa"/>
            <w:tcBorders>
              <w:top w:val="nil"/>
              <w:left w:val="nil"/>
              <w:bottom w:val="nil"/>
              <w:right w:val="nil"/>
            </w:tcBorders>
            <w:shd w:val="clear" w:color="auto" w:fill="auto"/>
            <w:noWrap/>
            <w:vAlign w:val="center"/>
          </w:tcPr>
          <w:p w:rsidR="006174B9" w:rsidRDefault="005B2F69">
            <w:pPr>
              <w:widowControl/>
              <w:jc w:val="right"/>
              <w:rPr>
                <w:rFonts w:ascii="Times New Roman" w:hAnsi="Times New Roman" w:cs="宋体"/>
                <w:color w:val="000000"/>
                <w:kern w:val="0"/>
                <w:sz w:val="20"/>
                <w:szCs w:val="20"/>
              </w:rPr>
            </w:pPr>
            <w:r>
              <w:rPr>
                <w:rFonts w:ascii="Times New Roman" w:hAnsi="Times New Roman" w:cs="宋体" w:hint="eastAsia"/>
                <w:color w:val="000000"/>
                <w:kern w:val="0"/>
                <w:sz w:val="20"/>
                <w:szCs w:val="20"/>
              </w:rPr>
              <w:t>单位：万元</w:t>
            </w:r>
          </w:p>
        </w:tc>
      </w:tr>
      <w:tr w:rsidR="006174B9">
        <w:trPr>
          <w:trHeight w:hRule="exact" w:val="567"/>
          <w:jc w:val="center"/>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2025</w:t>
            </w:r>
            <w:r>
              <w:rPr>
                <w:rFonts w:ascii="Times New Roman" w:hAnsi="Times New Roman" w:cs="宋体" w:hint="eastAsia"/>
                <w:color w:val="000000"/>
                <w:kern w:val="0"/>
                <w:sz w:val="20"/>
                <w:szCs w:val="20"/>
              </w:rPr>
              <w:t>年国有资本经营预算支出</w:t>
            </w:r>
          </w:p>
        </w:tc>
      </w:tr>
      <w:tr w:rsidR="006174B9">
        <w:trPr>
          <w:trHeight w:hRule="exact" w:val="567"/>
          <w:jc w:val="center"/>
        </w:trPr>
        <w:tc>
          <w:tcPr>
            <w:tcW w:w="3119" w:type="dxa"/>
            <w:vMerge/>
            <w:tcBorders>
              <w:top w:val="nil"/>
              <w:left w:val="single" w:sz="4" w:space="0" w:color="auto"/>
              <w:bottom w:val="single" w:sz="4" w:space="0" w:color="auto"/>
              <w:right w:val="single" w:sz="4" w:space="0" w:color="auto"/>
            </w:tcBorders>
            <w:vAlign w:val="center"/>
          </w:tcPr>
          <w:p w:rsidR="006174B9" w:rsidRDefault="006174B9"/>
        </w:tc>
        <w:tc>
          <w:tcPr>
            <w:tcW w:w="3402" w:type="dxa"/>
            <w:vMerge/>
            <w:tcBorders>
              <w:top w:val="nil"/>
              <w:left w:val="single" w:sz="4" w:space="0" w:color="auto"/>
              <w:bottom w:val="single" w:sz="4" w:space="0" w:color="auto"/>
              <w:right w:val="single" w:sz="4" w:space="0" w:color="auto"/>
            </w:tcBorders>
            <w:vAlign w:val="center"/>
          </w:tcPr>
          <w:p w:rsidR="006174B9" w:rsidRDefault="006174B9"/>
        </w:tc>
        <w:tc>
          <w:tcPr>
            <w:tcW w:w="2551"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项目支出</w:t>
            </w:r>
          </w:p>
        </w:tc>
      </w:tr>
      <w:tr w:rsidR="006174B9">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6174B9">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6174B9">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6174B9">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6174B9">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6174B9">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6174B9">
        <w:trPr>
          <w:trHeight w:hRule="exact" w:val="567"/>
          <w:jc w:val="center"/>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合</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计</w:t>
            </w:r>
          </w:p>
        </w:tc>
        <w:tc>
          <w:tcPr>
            <w:tcW w:w="2551"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6174B9" w:rsidRDefault="005B2F69">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bl>
    <w:p w:rsidR="006174B9" w:rsidRDefault="005B2F69">
      <w:pP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注</w:t>
      </w:r>
      <w:r>
        <w:rPr>
          <w:rFonts w:ascii="Times New Roman" w:eastAsia="方正仿宋_GBK" w:hAnsi="Times New Roman" w:cs="Times New Roman"/>
          <w:sz w:val="24"/>
          <w:szCs w:val="24"/>
        </w:rPr>
        <w:t>：海关总署无</w:t>
      </w:r>
      <w:r>
        <w:rPr>
          <w:rFonts w:ascii="Times New Roman" w:eastAsia="方正仿宋_GBK" w:hAnsi="Times New Roman" w:cs="Times New Roman" w:hint="eastAsia"/>
          <w:sz w:val="24"/>
          <w:szCs w:val="24"/>
        </w:rPr>
        <w:t>国有资本经营</w:t>
      </w:r>
      <w:r>
        <w:rPr>
          <w:rFonts w:ascii="Times New Roman" w:eastAsia="方正仿宋_GBK" w:hAnsi="Times New Roman" w:cs="Times New Roman"/>
          <w:sz w:val="24"/>
          <w:szCs w:val="24"/>
        </w:rPr>
        <w:t>预算</w:t>
      </w:r>
      <w:r>
        <w:rPr>
          <w:rFonts w:ascii="Times New Roman" w:eastAsia="方正仿宋_GBK" w:hAnsi="Times New Roman" w:cs="Times New Roman" w:hint="eastAsia"/>
          <w:sz w:val="24"/>
          <w:szCs w:val="24"/>
        </w:rPr>
        <w:t>收入，也无国有资本经营预算安排的支出，故本表无数据。</w:t>
      </w:r>
    </w:p>
    <w:p w:rsidR="006174B9" w:rsidRDefault="006174B9">
      <w:pPr>
        <w:rPr>
          <w:rFonts w:ascii="Times New Roman" w:eastAsia="方正仿宋_GBK" w:hAnsi="Times New Roman" w:cs="Times New Roman"/>
          <w:sz w:val="24"/>
          <w:szCs w:val="24"/>
        </w:rPr>
      </w:pPr>
    </w:p>
    <w:p w:rsidR="006174B9" w:rsidRDefault="006174B9">
      <w:pPr>
        <w:rPr>
          <w:rFonts w:ascii="Times New Roman" w:eastAsia="方正仿宋_GBK" w:hAnsi="Times New Roman" w:cs="Times New Roman"/>
          <w:sz w:val="24"/>
          <w:szCs w:val="24"/>
        </w:rPr>
      </w:pPr>
    </w:p>
    <w:p w:rsidR="006174B9" w:rsidRDefault="005B2F69">
      <w:pPr>
        <w:pStyle w:val="6510"/>
        <w:jc w:val="right"/>
        <w:rPr>
          <w:rFonts w:ascii="黑体" w:eastAsia="黑体" w:cs="黑体"/>
          <w:sz w:val="20"/>
          <w:szCs w:val="20"/>
        </w:rPr>
      </w:pPr>
      <w:r>
        <w:rPr>
          <w:rFonts w:ascii="黑体" w:eastAsia="黑体" w:cs="黑体" w:hint="eastAsia"/>
          <w:snapToGrid w:val="0"/>
          <w:sz w:val="20"/>
          <w:szCs w:val="20"/>
        </w:rPr>
        <w:lastRenderedPageBreak/>
        <w:t>部门公开表</w:t>
      </w:r>
      <w:r>
        <w:rPr>
          <w:rFonts w:ascii="黑体" w:eastAsia="黑体" w:cs="黑体" w:hint="eastAsia"/>
          <w:snapToGrid w:val="0"/>
          <w:sz w:val="20"/>
          <w:szCs w:val="20"/>
        </w:rPr>
        <w:t xml:space="preserve"> 9</w:t>
      </w:r>
    </w:p>
    <w:p w:rsidR="006174B9" w:rsidRDefault="005B2F69">
      <w:pPr>
        <w:pStyle w:val="6510"/>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rsidR="006174B9" w:rsidRDefault="005B2F69">
      <w:pPr>
        <w:pStyle w:val="229610"/>
        <w:spacing w:before="65" w:line="180" w:lineRule="auto"/>
        <w:ind w:firstLineChars="6450" w:firstLine="12513"/>
        <w:jc w:val="both"/>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6174B9" w:rsidRDefault="006174B9">
      <w:pPr>
        <w:pStyle w:val="229610"/>
        <w:spacing w:line="20" w:lineRule="exact"/>
        <w:rPr>
          <w:rFonts w:ascii="Times New Roman" w:eastAsia="宋体" w:hAnsi="Times New Roman"/>
        </w:rPr>
      </w:pPr>
    </w:p>
    <w:tbl>
      <w:tblPr>
        <w:tblW w:w="132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76"/>
        <w:gridCol w:w="2781"/>
        <w:gridCol w:w="1370"/>
        <w:gridCol w:w="2100"/>
        <w:gridCol w:w="2727"/>
        <w:gridCol w:w="2139"/>
      </w:tblGrid>
      <w:tr w:rsidR="006174B9">
        <w:trPr>
          <w:trHeight w:val="671"/>
          <w:jc w:val="center"/>
        </w:trPr>
        <w:tc>
          <w:tcPr>
            <w:tcW w:w="13293" w:type="dxa"/>
            <w:gridSpan w:val="6"/>
            <w:vAlign w:val="center"/>
          </w:tcPr>
          <w:p w:rsidR="006174B9" w:rsidRDefault="005B2F69">
            <w:pPr>
              <w:pStyle w:val="229610"/>
              <w:spacing w:before="213"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2025</w:t>
            </w:r>
            <w:r>
              <w:rPr>
                <w:rFonts w:ascii="Times New Roman" w:eastAsia="宋体" w:hAnsi="Times New Roman" w:cs="Times New Roman"/>
                <w:spacing w:val="-2"/>
                <w:sz w:val="22"/>
                <w:szCs w:val="22"/>
              </w:rPr>
              <w:t>年预算数</w:t>
            </w:r>
          </w:p>
        </w:tc>
      </w:tr>
      <w:tr w:rsidR="006174B9">
        <w:trPr>
          <w:trHeight w:val="872"/>
          <w:jc w:val="center"/>
        </w:trPr>
        <w:tc>
          <w:tcPr>
            <w:tcW w:w="2176" w:type="dxa"/>
            <w:vMerge w:val="restart"/>
            <w:tcBorders>
              <w:bottom w:val="nil"/>
            </w:tcBorders>
            <w:vAlign w:val="center"/>
          </w:tcPr>
          <w:p w:rsidR="006174B9" w:rsidRDefault="006174B9">
            <w:pPr>
              <w:pStyle w:val="229610"/>
              <w:spacing w:line="295" w:lineRule="auto"/>
              <w:jc w:val="center"/>
              <w:rPr>
                <w:rFonts w:ascii="Times New Roman" w:eastAsia="宋体" w:hAnsi="Times New Roman" w:cs="Times New Roman"/>
                <w:sz w:val="22"/>
                <w:szCs w:val="22"/>
              </w:rPr>
            </w:pPr>
          </w:p>
          <w:p w:rsidR="006174B9" w:rsidRDefault="006174B9">
            <w:pPr>
              <w:pStyle w:val="229610"/>
              <w:spacing w:line="295" w:lineRule="auto"/>
              <w:jc w:val="center"/>
              <w:rPr>
                <w:rFonts w:ascii="Times New Roman" w:eastAsia="宋体" w:hAnsi="Times New Roman" w:cs="Times New Roman"/>
                <w:sz w:val="22"/>
                <w:szCs w:val="22"/>
              </w:rPr>
            </w:pPr>
          </w:p>
          <w:p w:rsidR="006174B9" w:rsidRDefault="005B2F69">
            <w:pPr>
              <w:pStyle w:val="229610"/>
              <w:spacing w:before="90" w:line="180" w:lineRule="auto"/>
              <w:ind w:firstLine="333"/>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合计</w:t>
            </w:r>
          </w:p>
        </w:tc>
        <w:tc>
          <w:tcPr>
            <w:tcW w:w="2781" w:type="dxa"/>
            <w:vMerge w:val="restart"/>
            <w:tcBorders>
              <w:bottom w:val="nil"/>
            </w:tcBorders>
            <w:vAlign w:val="center"/>
          </w:tcPr>
          <w:p w:rsidR="006174B9" w:rsidRDefault="006174B9">
            <w:pPr>
              <w:pStyle w:val="229610"/>
              <w:spacing w:line="439" w:lineRule="auto"/>
              <w:jc w:val="center"/>
              <w:rPr>
                <w:rFonts w:ascii="Times New Roman" w:eastAsia="宋体" w:hAnsi="Times New Roman" w:cs="Times New Roman"/>
                <w:sz w:val="22"/>
                <w:szCs w:val="22"/>
              </w:rPr>
            </w:pPr>
          </w:p>
          <w:p w:rsidR="006174B9" w:rsidRDefault="005B2F69">
            <w:pPr>
              <w:pStyle w:val="229610"/>
              <w:spacing w:before="91" w:line="204" w:lineRule="auto"/>
              <w:ind w:left="227" w:right="230" w:firstLine="33"/>
              <w:jc w:val="center"/>
              <w:rPr>
                <w:rFonts w:ascii="Times New Roman" w:eastAsia="宋体" w:hAnsi="Times New Roman" w:cs="Times New Roman"/>
                <w:sz w:val="22"/>
                <w:szCs w:val="22"/>
              </w:rPr>
            </w:pPr>
            <w:r>
              <w:rPr>
                <w:rFonts w:ascii="Times New Roman" w:eastAsia="宋体" w:hAnsi="Times New Roman" w:cs="Times New Roman"/>
                <w:spacing w:val="-6"/>
                <w:sz w:val="22"/>
                <w:szCs w:val="22"/>
              </w:rPr>
              <w:t>因公出国</w:t>
            </w:r>
            <w:r>
              <w:rPr>
                <w:rFonts w:ascii="Times New Roman" w:eastAsia="宋体" w:hAnsi="Times New Roman" w:cs="Times New Roman"/>
                <w:spacing w:val="2"/>
                <w:w w:val="101"/>
                <w:sz w:val="22"/>
                <w:szCs w:val="22"/>
              </w:rPr>
              <w:t xml:space="preserve"> </w:t>
            </w:r>
            <w:r>
              <w:rPr>
                <w:rFonts w:ascii="Times New Roman" w:eastAsia="宋体" w:hAnsi="Times New Roman" w:cs="Times New Roman"/>
                <w:spacing w:val="2"/>
                <w:sz w:val="22"/>
                <w:szCs w:val="22"/>
              </w:rPr>
              <w:t>（境）费</w:t>
            </w:r>
          </w:p>
        </w:tc>
        <w:tc>
          <w:tcPr>
            <w:tcW w:w="6197" w:type="dxa"/>
            <w:gridSpan w:val="3"/>
            <w:vAlign w:val="center"/>
          </w:tcPr>
          <w:p w:rsidR="006174B9" w:rsidRDefault="005B2F69">
            <w:pPr>
              <w:pStyle w:val="229610"/>
              <w:spacing w:before="312" w:line="180" w:lineRule="auto"/>
              <w:ind w:firstLine="809"/>
              <w:jc w:val="center"/>
              <w:rPr>
                <w:rFonts w:ascii="Times New Roman" w:eastAsia="宋体" w:hAnsi="Times New Roman" w:cs="Times New Roman"/>
                <w:sz w:val="22"/>
                <w:szCs w:val="22"/>
              </w:rPr>
            </w:pPr>
            <w:r>
              <w:rPr>
                <w:rFonts w:ascii="Times New Roman" w:eastAsia="宋体" w:hAnsi="Times New Roman" w:cs="Times New Roman"/>
                <w:sz w:val="22"/>
                <w:szCs w:val="22"/>
              </w:rPr>
              <w:t>公务用车购置及运行费</w:t>
            </w:r>
          </w:p>
        </w:tc>
        <w:tc>
          <w:tcPr>
            <w:tcW w:w="2139" w:type="dxa"/>
            <w:vMerge w:val="restart"/>
            <w:tcBorders>
              <w:bottom w:val="nil"/>
            </w:tcBorders>
            <w:vAlign w:val="center"/>
          </w:tcPr>
          <w:p w:rsidR="006174B9" w:rsidRDefault="006174B9">
            <w:pPr>
              <w:pStyle w:val="229610"/>
              <w:spacing w:line="295" w:lineRule="auto"/>
              <w:jc w:val="center"/>
              <w:rPr>
                <w:rFonts w:ascii="Times New Roman" w:eastAsia="宋体" w:hAnsi="Times New Roman" w:cs="Times New Roman"/>
                <w:sz w:val="22"/>
                <w:szCs w:val="22"/>
              </w:rPr>
            </w:pPr>
          </w:p>
          <w:p w:rsidR="006174B9" w:rsidRDefault="006174B9">
            <w:pPr>
              <w:pStyle w:val="229610"/>
              <w:spacing w:line="295" w:lineRule="auto"/>
              <w:jc w:val="center"/>
              <w:rPr>
                <w:rFonts w:ascii="Times New Roman" w:eastAsia="宋体" w:hAnsi="Times New Roman" w:cs="Times New Roman"/>
                <w:sz w:val="22"/>
                <w:szCs w:val="22"/>
              </w:rPr>
            </w:pPr>
          </w:p>
          <w:p w:rsidR="006174B9" w:rsidRDefault="005B2F69">
            <w:pPr>
              <w:pStyle w:val="229610"/>
              <w:spacing w:before="90" w:line="180" w:lineRule="auto"/>
              <w:ind w:firstLine="196"/>
              <w:jc w:val="center"/>
              <w:rPr>
                <w:rFonts w:ascii="Times New Roman" w:eastAsia="宋体" w:hAnsi="Times New Roman" w:cs="Times New Roman"/>
                <w:sz w:val="22"/>
                <w:szCs w:val="22"/>
              </w:rPr>
            </w:pPr>
            <w:r>
              <w:rPr>
                <w:rFonts w:ascii="Times New Roman" w:eastAsia="宋体" w:hAnsi="Times New Roman" w:cs="Times New Roman"/>
                <w:sz w:val="22"/>
                <w:szCs w:val="22"/>
              </w:rPr>
              <w:t>公务接待费</w:t>
            </w:r>
          </w:p>
        </w:tc>
      </w:tr>
      <w:tr w:rsidR="006174B9">
        <w:trPr>
          <w:trHeight w:val="737"/>
          <w:jc w:val="center"/>
        </w:trPr>
        <w:tc>
          <w:tcPr>
            <w:tcW w:w="2176" w:type="dxa"/>
            <w:vMerge/>
            <w:tcBorders>
              <w:top w:val="nil"/>
            </w:tcBorders>
            <w:vAlign w:val="center"/>
          </w:tcPr>
          <w:p w:rsidR="006174B9" w:rsidRDefault="006174B9"/>
        </w:tc>
        <w:tc>
          <w:tcPr>
            <w:tcW w:w="2781" w:type="dxa"/>
            <w:vMerge/>
            <w:tcBorders>
              <w:top w:val="nil"/>
            </w:tcBorders>
            <w:vAlign w:val="center"/>
          </w:tcPr>
          <w:p w:rsidR="006174B9" w:rsidRDefault="006174B9"/>
        </w:tc>
        <w:tc>
          <w:tcPr>
            <w:tcW w:w="1370" w:type="dxa"/>
            <w:vAlign w:val="center"/>
          </w:tcPr>
          <w:p w:rsidR="006174B9" w:rsidRDefault="005B2F69">
            <w:pPr>
              <w:pStyle w:val="229610"/>
              <w:spacing w:before="246"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小计</w:t>
            </w:r>
          </w:p>
        </w:tc>
        <w:tc>
          <w:tcPr>
            <w:tcW w:w="2100" w:type="dxa"/>
            <w:vAlign w:val="center"/>
          </w:tcPr>
          <w:p w:rsidR="006174B9" w:rsidRDefault="005B2F69">
            <w:pPr>
              <w:pStyle w:val="229610"/>
              <w:spacing w:before="92" w:line="204" w:lineRule="auto"/>
              <w:ind w:left="345" w:right="229" w:hanging="105"/>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公务用车购置费</w:t>
            </w:r>
          </w:p>
        </w:tc>
        <w:tc>
          <w:tcPr>
            <w:tcW w:w="2727" w:type="dxa"/>
            <w:vAlign w:val="center"/>
          </w:tcPr>
          <w:p w:rsidR="006174B9" w:rsidRDefault="005B2F69">
            <w:pPr>
              <w:pStyle w:val="229610"/>
              <w:spacing w:before="92" w:line="204" w:lineRule="auto"/>
              <w:ind w:left="349" w:right="228" w:hanging="108"/>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w:t>
            </w:r>
            <w:r>
              <w:rPr>
                <w:rFonts w:ascii="Times New Roman" w:eastAsia="宋体" w:hAnsi="Times New Roman" w:cs="Times New Roman"/>
                <w:spacing w:val="-2"/>
                <w:sz w:val="22"/>
                <w:szCs w:val="22"/>
              </w:rPr>
              <w:t>运行费</w:t>
            </w:r>
          </w:p>
        </w:tc>
        <w:tc>
          <w:tcPr>
            <w:tcW w:w="2139" w:type="dxa"/>
            <w:vMerge/>
            <w:tcBorders>
              <w:top w:val="nil"/>
            </w:tcBorders>
            <w:vAlign w:val="center"/>
          </w:tcPr>
          <w:p w:rsidR="006174B9" w:rsidRDefault="006174B9"/>
        </w:tc>
      </w:tr>
      <w:tr w:rsidR="006174B9">
        <w:trPr>
          <w:trHeight w:val="1345"/>
          <w:jc w:val="center"/>
        </w:trPr>
        <w:tc>
          <w:tcPr>
            <w:tcW w:w="2176" w:type="dxa"/>
            <w:vAlign w:val="center"/>
          </w:tcPr>
          <w:p w:rsidR="006174B9" w:rsidRDefault="006174B9">
            <w:pPr>
              <w:pStyle w:val="6510"/>
              <w:widowControl/>
              <w:jc w:val="center"/>
              <w:textAlignment w:val="center"/>
              <w:rPr>
                <w:sz w:val="22"/>
                <w:szCs w:val="22"/>
              </w:rPr>
            </w:pPr>
          </w:p>
        </w:tc>
        <w:tc>
          <w:tcPr>
            <w:tcW w:w="2781" w:type="dxa"/>
            <w:vAlign w:val="center"/>
          </w:tcPr>
          <w:p w:rsidR="006174B9" w:rsidRDefault="006174B9">
            <w:pPr>
              <w:pStyle w:val="6510"/>
              <w:widowControl/>
              <w:jc w:val="center"/>
              <w:textAlignment w:val="center"/>
              <w:rPr>
                <w:sz w:val="22"/>
                <w:szCs w:val="22"/>
              </w:rPr>
            </w:pPr>
          </w:p>
        </w:tc>
        <w:tc>
          <w:tcPr>
            <w:tcW w:w="1370" w:type="dxa"/>
            <w:vAlign w:val="center"/>
          </w:tcPr>
          <w:p w:rsidR="006174B9" w:rsidRDefault="006174B9">
            <w:pPr>
              <w:pStyle w:val="6510"/>
              <w:widowControl/>
              <w:jc w:val="center"/>
              <w:rPr>
                <w:kern w:val="0"/>
                <w:sz w:val="22"/>
                <w:szCs w:val="22"/>
              </w:rPr>
            </w:pPr>
          </w:p>
        </w:tc>
        <w:tc>
          <w:tcPr>
            <w:tcW w:w="2100" w:type="dxa"/>
            <w:vAlign w:val="center"/>
          </w:tcPr>
          <w:p w:rsidR="006174B9" w:rsidRDefault="006174B9">
            <w:pPr>
              <w:pStyle w:val="6510"/>
              <w:widowControl/>
              <w:jc w:val="center"/>
              <w:rPr>
                <w:kern w:val="0"/>
                <w:sz w:val="22"/>
                <w:szCs w:val="22"/>
              </w:rPr>
            </w:pPr>
          </w:p>
        </w:tc>
        <w:tc>
          <w:tcPr>
            <w:tcW w:w="2727" w:type="dxa"/>
            <w:vAlign w:val="center"/>
          </w:tcPr>
          <w:p w:rsidR="006174B9" w:rsidRDefault="006174B9">
            <w:pPr>
              <w:pStyle w:val="6510"/>
              <w:widowControl/>
              <w:jc w:val="center"/>
              <w:rPr>
                <w:kern w:val="0"/>
                <w:sz w:val="22"/>
                <w:szCs w:val="22"/>
              </w:rPr>
            </w:pPr>
          </w:p>
        </w:tc>
        <w:tc>
          <w:tcPr>
            <w:tcW w:w="2139" w:type="dxa"/>
            <w:vAlign w:val="center"/>
          </w:tcPr>
          <w:p w:rsidR="006174B9" w:rsidRDefault="006174B9">
            <w:pPr>
              <w:pStyle w:val="6510"/>
              <w:widowControl/>
              <w:jc w:val="center"/>
              <w:rPr>
                <w:kern w:val="0"/>
                <w:sz w:val="22"/>
                <w:szCs w:val="22"/>
              </w:rPr>
            </w:pPr>
          </w:p>
        </w:tc>
      </w:tr>
    </w:tbl>
    <w:p w:rsidR="006174B9" w:rsidRDefault="006174B9">
      <w:pPr>
        <w:rPr>
          <w:rFonts w:ascii="Times New Roman" w:eastAsia="方正仿宋_GBK" w:hAnsi="Times New Roman" w:cs="Times New Roman"/>
          <w:sz w:val="24"/>
          <w:szCs w:val="24"/>
        </w:rPr>
      </w:pPr>
    </w:p>
    <w:p w:rsidR="006174B9" w:rsidRDefault="006174B9">
      <w:pPr>
        <w:jc w:val="center"/>
        <w:rPr>
          <w:rFonts w:ascii="Times New Roman" w:eastAsia="方正仿宋_GBK" w:hAnsi="Times New Roman"/>
          <w:sz w:val="32"/>
          <w:szCs w:val="32"/>
        </w:rPr>
      </w:pPr>
    </w:p>
    <w:p w:rsidR="006174B9" w:rsidRDefault="006174B9">
      <w:pPr>
        <w:rPr>
          <w:rFonts w:ascii="Times New Roman" w:eastAsia="方正仿宋_GBK" w:hAnsi="Times New Roman"/>
          <w:sz w:val="32"/>
          <w:szCs w:val="32"/>
        </w:rPr>
        <w:sectPr w:rsidR="006174B9">
          <w:pgSz w:w="16838" w:h="11906" w:orient="landscape"/>
          <w:pgMar w:top="1800" w:right="1440" w:bottom="1800" w:left="1440" w:header="851" w:footer="992" w:gutter="0"/>
          <w:cols w:space="720"/>
          <w:docGrid w:type="lines" w:linePitch="312"/>
        </w:sectPr>
      </w:pPr>
    </w:p>
    <w:p w:rsidR="006174B9" w:rsidRDefault="006174B9">
      <w:pPr>
        <w:jc w:val="center"/>
        <w:rPr>
          <w:rFonts w:ascii="Times New Roman" w:hAnsi="Times New Roman"/>
          <w:b/>
          <w:sz w:val="84"/>
          <w:szCs w:val="84"/>
        </w:rPr>
      </w:pPr>
    </w:p>
    <w:p w:rsidR="006174B9" w:rsidRDefault="006174B9">
      <w:pPr>
        <w:jc w:val="center"/>
        <w:rPr>
          <w:rFonts w:ascii="Times New Roman" w:hAnsi="Times New Roman"/>
          <w:b/>
          <w:sz w:val="84"/>
          <w:szCs w:val="84"/>
        </w:rPr>
      </w:pPr>
    </w:p>
    <w:p w:rsidR="006174B9" w:rsidRDefault="006174B9">
      <w:pPr>
        <w:jc w:val="center"/>
        <w:rPr>
          <w:rFonts w:ascii="Times New Roman" w:hAnsi="Times New Roman"/>
          <w:b/>
          <w:sz w:val="84"/>
          <w:szCs w:val="84"/>
        </w:rPr>
      </w:pPr>
    </w:p>
    <w:p w:rsidR="006174B9" w:rsidRDefault="006174B9">
      <w:pPr>
        <w:jc w:val="center"/>
        <w:rPr>
          <w:rFonts w:ascii="Times New Roman" w:hAnsi="Times New Roman"/>
          <w:b/>
          <w:sz w:val="84"/>
          <w:szCs w:val="84"/>
        </w:rPr>
      </w:pPr>
    </w:p>
    <w:p w:rsidR="006174B9" w:rsidRDefault="005B2F69">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rsidR="006174B9" w:rsidRDefault="005B2F69">
      <w:pPr>
        <w:jc w:val="center"/>
        <w:rPr>
          <w:rFonts w:ascii="Times New Roman" w:hAnsi="Times New Roman"/>
          <w:b/>
          <w:sz w:val="80"/>
          <w:szCs w:val="80"/>
        </w:rPr>
      </w:pPr>
      <w:r>
        <w:rPr>
          <w:rFonts w:ascii="Times New Roman" w:hAnsi="Times New Roman" w:hint="eastAsia"/>
          <w:b/>
          <w:sz w:val="80"/>
          <w:szCs w:val="80"/>
        </w:rPr>
        <w:t>昆山海关综合技术服务中心</w:t>
      </w:r>
      <w:r>
        <w:rPr>
          <w:rFonts w:ascii="Times New Roman" w:hAnsi="Times New Roman"/>
          <w:b/>
          <w:sz w:val="80"/>
          <w:szCs w:val="80"/>
        </w:rPr>
        <w:t>2025</w:t>
      </w:r>
      <w:r>
        <w:rPr>
          <w:rFonts w:ascii="Times New Roman" w:hAnsi="Times New Roman" w:hint="eastAsia"/>
          <w:b/>
          <w:sz w:val="80"/>
          <w:szCs w:val="80"/>
        </w:rPr>
        <w:t>年部门预算</w:t>
      </w:r>
    </w:p>
    <w:p w:rsidR="006174B9" w:rsidRDefault="005B2F69">
      <w:pPr>
        <w:jc w:val="center"/>
        <w:rPr>
          <w:rFonts w:ascii="Times New Roman" w:hAnsi="Times New Roman"/>
          <w:b/>
          <w:sz w:val="80"/>
          <w:szCs w:val="80"/>
        </w:rPr>
      </w:pPr>
      <w:r>
        <w:rPr>
          <w:rFonts w:ascii="Times New Roman" w:hAnsi="Times New Roman" w:hint="eastAsia"/>
          <w:b/>
          <w:sz w:val="80"/>
          <w:szCs w:val="80"/>
        </w:rPr>
        <w:t>情况说明</w:t>
      </w:r>
    </w:p>
    <w:p w:rsidR="006174B9" w:rsidRDefault="005B2F69">
      <w:pPr>
        <w:pStyle w:val="410"/>
        <w:spacing w:line="560" w:lineRule="exact"/>
        <w:rPr>
          <w:b/>
          <w:sz w:val="84"/>
          <w:szCs w:val="84"/>
        </w:rPr>
      </w:pPr>
      <w:r>
        <w:rPr>
          <w:b/>
          <w:sz w:val="84"/>
          <w:szCs w:val="84"/>
        </w:rPr>
        <w:t xml:space="preserve"> </w:t>
      </w:r>
    </w:p>
    <w:p w:rsidR="006174B9" w:rsidRDefault="005B2F69">
      <w:pPr>
        <w:rPr>
          <w:rFonts w:ascii="Times New Roman" w:hAnsi="Times New Roman"/>
          <w:b/>
          <w:sz w:val="84"/>
          <w:szCs w:val="84"/>
        </w:rPr>
      </w:pPr>
      <w:r>
        <w:rPr>
          <w:rFonts w:ascii="Times New Roman" w:hAnsi="Times New Roman"/>
          <w:b/>
          <w:sz w:val="84"/>
          <w:szCs w:val="84"/>
        </w:rPr>
        <w:t xml:space="preserve"> </w:t>
      </w:r>
    </w:p>
    <w:p w:rsidR="006174B9" w:rsidRDefault="005B2F69">
      <w:pPr>
        <w:rPr>
          <w:rFonts w:ascii="Times New Roman" w:hAnsi="Times New Roman"/>
          <w:b/>
          <w:sz w:val="84"/>
          <w:szCs w:val="84"/>
        </w:rPr>
      </w:pPr>
      <w:r>
        <w:rPr>
          <w:rFonts w:ascii="Times New Roman" w:hAnsi="Times New Roman"/>
          <w:b/>
          <w:sz w:val="84"/>
          <w:szCs w:val="84"/>
        </w:rPr>
        <w:t xml:space="preserve"> </w:t>
      </w:r>
    </w:p>
    <w:p w:rsidR="006174B9" w:rsidRDefault="006174B9">
      <w:pPr>
        <w:rPr>
          <w:rFonts w:ascii="Times New Roman" w:hAnsi="Times New Roman"/>
          <w:b/>
          <w:sz w:val="84"/>
          <w:szCs w:val="84"/>
        </w:rPr>
        <w:sectPr w:rsidR="006174B9">
          <w:pgSz w:w="11906" w:h="16838"/>
          <w:pgMar w:top="1440" w:right="1800" w:bottom="1440" w:left="1800" w:header="851" w:footer="992" w:gutter="0"/>
          <w:cols w:space="720"/>
          <w:docGrid w:type="lines" w:linePitch="312"/>
        </w:sectPr>
      </w:pPr>
    </w:p>
    <w:p w:rsidR="006174B9" w:rsidRDefault="005B2F69">
      <w:pPr>
        <w:pStyle w:val="410"/>
        <w:spacing w:line="560" w:lineRule="exact"/>
        <w:ind w:firstLineChars="200" w:firstLine="640"/>
        <w:rPr>
          <w:rFonts w:eastAsia="方正仿宋_GBK"/>
          <w:sz w:val="32"/>
          <w:szCs w:val="32"/>
        </w:rPr>
      </w:pPr>
      <w:r>
        <w:rPr>
          <w:rFonts w:eastAsia="方正黑体_GBK"/>
          <w:sz w:val="32"/>
          <w:szCs w:val="32"/>
        </w:rPr>
        <w:lastRenderedPageBreak/>
        <w:t>一、关于</w:t>
      </w:r>
      <w:r>
        <w:rPr>
          <w:rFonts w:eastAsia="方正黑体_GBK" w:hint="eastAsia"/>
          <w:sz w:val="32"/>
          <w:szCs w:val="32"/>
        </w:rPr>
        <w:t>昆山</w:t>
      </w:r>
      <w:r>
        <w:rPr>
          <w:rFonts w:eastAsia="方正黑体_GBK"/>
          <w:sz w:val="32"/>
          <w:szCs w:val="32"/>
        </w:rPr>
        <w:t>海关</w:t>
      </w:r>
      <w:r>
        <w:rPr>
          <w:rFonts w:eastAsia="方正黑体_GBK" w:hint="eastAsia"/>
          <w:sz w:val="32"/>
          <w:szCs w:val="32"/>
        </w:rPr>
        <w:t>综合技术服务中心</w:t>
      </w:r>
      <w:r>
        <w:rPr>
          <w:rFonts w:eastAsia="方正黑体_GBK"/>
          <w:sz w:val="32"/>
          <w:szCs w:val="32"/>
        </w:rPr>
        <w:t>2025</w:t>
      </w:r>
      <w:r>
        <w:rPr>
          <w:rFonts w:eastAsia="方正黑体_GBK"/>
          <w:sz w:val="32"/>
          <w:szCs w:val="32"/>
        </w:rPr>
        <w:t>年收支预算情况的总体说明</w:t>
      </w:r>
    </w:p>
    <w:p w:rsidR="006174B9" w:rsidRDefault="005B2F69">
      <w:pPr>
        <w:pStyle w:val="410"/>
        <w:spacing w:line="560" w:lineRule="exact"/>
        <w:ind w:firstLineChars="200" w:firstLine="640"/>
        <w:rPr>
          <w:rFonts w:eastAsia="方正仿宋_GBK"/>
          <w:color w:val="FF0000"/>
          <w:sz w:val="32"/>
          <w:szCs w:val="32"/>
        </w:rPr>
      </w:pPr>
      <w:r>
        <w:rPr>
          <w:rFonts w:eastAsia="方正仿宋_GBK"/>
          <w:sz w:val="32"/>
          <w:szCs w:val="32"/>
        </w:rPr>
        <w:t>按照综合预算的原则，</w:t>
      </w:r>
      <w:r>
        <w:rPr>
          <w:rFonts w:eastAsia="方正仿宋_GBK" w:hint="eastAsia"/>
          <w:sz w:val="32"/>
          <w:szCs w:val="32"/>
        </w:rPr>
        <w:t>昆山</w:t>
      </w:r>
      <w:r>
        <w:rPr>
          <w:rFonts w:eastAsia="方正仿宋_GBK"/>
          <w:sz w:val="32"/>
          <w:szCs w:val="32"/>
        </w:rPr>
        <w:t>海关</w:t>
      </w:r>
      <w:r>
        <w:rPr>
          <w:rFonts w:eastAsia="方正仿宋_GBK" w:hint="eastAsia"/>
          <w:sz w:val="32"/>
          <w:szCs w:val="32"/>
        </w:rPr>
        <w:t>综合技术服务中心</w:t>
      </w:r>
      <w:r>
        <w:rPr>
          <w:rFonts w:eastAsia="方正仿宋_GBK"/>
          <w:sz w:val="32"/>
          <w:szCs w:val="32"/>
        </w:rPr>
        <w:t>所有收入和支出均纳入部门预算管理。收入包括：一般公共预算拨款收入、事业收入、事业单位经营收入、其他收入、使用非财政拨款结余、上年结转；支出包括：一般公共服务支出、外交支出、公共安全支出、教育支出、社会保障和就业支出、卫生健康支出、住房保障支出。</w:t>
      </w:r>
      <w:r>
        <w:rPr>
          <w:rFonts w:eastAsia="方正仿宋_GBK" w:hint="eastAsia"/>
          <w:color w:val="000000"/>
          <w:sz w:val="32"/>
          <w:szCs w:val="32"/>
        </w:rPr>
        <w:t>昆山</w:t>
      </w:r>
      <w:r>
        <w:rPr>
          <w:rFonts w:eastAsia="方正仿宋_GBK"/>
          <w:color w:val="000000"/>
          <w:sz w:val="32"/>
          <w:szCs w:val="32"/>
        </w:rPr>
        <w:t>海关综合技术服务中心</w:t>
      </w:r>
      <w:r>
        <w:rPr>
          <w:rFonts w:eastAsia="方正仿宋_GBK"/>
          <w:color w:val="000000"/>
          <w:sz w:val="32"/>
          <w:szCs w:val="32"/>
        </w:rPr>
        <w:t>2025</w:t>
      </w:r>
      <w:r>
        <w:rPr>
          <w:rFonts w:eastAsia="方正仿宋_GBK"/>
          <w:color w:val="000000"/>
          <w:sz w:val="32"/>
          <w:szCs w:val="32"/>
        </w:rPr>
        <w:t>年收支总预算</w:t>
      </w:r>
      <w:r>
        <w:rPr>
          <w:rFonts w:eastAsia="方正仿宋_GBK"/>
          <w:color w:val="000000"/>
          <w:sz w:val="32"/>
          <w:szCs w:val="32"/>
        </w:rPr>
        <w:t>2807.53</w:t>
      </w:r>
      <w:r>
        <w:rPr>
          <w:rFonts w:eastAsia="方正仿宋_GBK"/>
          <w:color w:val="000000"/>
          <w:sz w:val="32"/>
          <w:szCs w:val="32"/>
        </w:rPr>
        <w:t>万元。</w:t>
      </w:r>
    </w:p>
    <w:p w:rsidR="006174B9" w:rsidRDefault="005B2F69">
      <w:pPr>
        <w:pStyle w:val="410"/>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昆山</w:t>
      </w:r>
      <w:r>
        <w:rPr>
          <w:rFonts w:eastAsia="方正黑体_GBK"/>
          <w:sz w:val="32"/>
          <w:szCs w:val="32"/>
        </w:rPr>
        <w:t>海关</w:t>
      </w:r>
      <w:r>
        <w:rPr>
          <w:rFonts w:eastAsia="方正黑体_GBK" w:hint="eastAsia"/>
          <w:sz w:val="32"/>
          <w:szCs w:val="32"/>
        </w:rPr>
        <w:t>综合技术服务中心</w:t>
      </w:r>
      <w:r>
        <w:rPr>
          <w:rFonts w:eastAsia="方正黑体_GBK"/>
          <w:sz w:val="32"/>
          <w:szCs w:val="32"/>
        </w:rPr>
        <w:t>2025</w:t>
      </w:r>
      <w:r>
        <w:rPr>
          <w:rFonts w:eastAsia="方正黑体_GBK"/>
          <w:sz w:val="32"/>
          <w:szCs w:val="32"/>
        </w:rPr>
        <w:t>年收入预算情况说明</w:t>
      </w:r>
    </w:p>
    <w:p w:rsidR="006174B9" w:rsidRDefault="005B2F69">
      <w:pPr>
        <w:pStyle w:val="410"/>
        <w:ind w:firstLineChars="200" w:firstLine="640"/>
        <w:rPr>
          <w:rFonts w:eastAsia="方正仿宋_GBK"/>
          <w:color w:val="000000"/>
          <w:sz w:val="32"/>
          <w:szCs w:val="32"/>
        </w:rPr>
      </w:pPr>
      <w:r>
        <w:rPr>
          <w:rFonts w:eastAsia="方正仿宋_GBK" w:hint="eastAsia"/>
          <w:color w:val="000000"/>
          <w:sz w:val="32"/>
          <w:szCs w:val="32"/>
        </w:rPr>
        <w:t>昆山</w:t>
      </w:r>
      <w:r>
        <w:rPr>
          <w:rFonts w:eastAsia="方正仿宋_GBK"/>
          <w:color w:val="000000"/>
          <w:sz w:val="32"/>
          <w:szCs w:val="32"/>
        </w:rPr>
        <w:t>海关</w:t>
      </w:r>
      <w:r>
        <w:rPr>
          <w:rFonts w:eastAsia="方正仿宋_GBK" w:hint="eastAsia"/>
          <w:color w:val="000000"/>
          <w:sz w:val="32"/>
          <w:szCs w:val="32"/>
        </w:rPr>
        <w:t>综合技术服务中心</w:t>
      </w:r>
      <w:r>
        <w:rPr>
          <w:rFonts w:eastAsia="方正仿宋_GBK"/>
          <w:color w:val="000000"/>
          <w:sz w:val="32"/>
          <w:szCs w:val="32"/>
        </w:rPr>
        <w:t>2025</w:t>
      </w:r>
      <w:r>
        <w:rPr>
          <w:rFonts w:eastAsia="方正仿宋_GBK"/>
          <w:color w:val="000000"/>
          <w:sz w:val="32"/>
          <w:szCs w:val="32"/>
        </w:rPr>
        <w:t>年收入预算</w:t>
      </w:r>
      <w:r>
        <w:rPr>
          <w:rFonts w:eastAsia="方正仿宋_GBK"/>
          <w:color w:val="000000"/>
          <w:sz w:val="32"/>
          <w:szCs w:val="32"/>
        </w:rPr>
        <w:t>2807.53</w:t>
      </w:r>
      <w:r>
        <w:rPr>
          <w:rFonts w:eastAsia="方正仿宋_GBK"/>
          <w:color w:val="000000"/>
          <w:sz w:val="32"/>
          <w:szCs w:val="32"/>
        </w:rPr>
        <w:t>万元，其中：一般公共预算财政拨款</w:t>
      </w:r>
      <w:r>
        <w:rPr>
          <w:rFonts w:eastAsia="方正仿宋_GBK"/>
          <w:color w:val="000000"/>
          <w:sz w:val="32"/>
          <w:szCs w:val="32"/>
        </w:rPr>
        <w:t>374</w:t>
      </w:r>
      <w:r>
        <w:rPr>
          <w:rFonts w:eastAsia="方正仿宋_GBK" w:hint="eastAsia"/>
          <w:color w:val="000000"/>
          <w:sz w:val="32"/>
          <w:szCs w:val="32"/>
        </w:rPr>
        <w:t>.00</w:t>
      </w:r>
      <w:r>
        <w:rPr>
          <w:rFonts w:eastAsia="方正仿宋_GBK"/>
          <w:color w:val="000000"/>
          <w:sz w:val="32"/>
          <w:szCs w:val="32"/>
        </w:rPr>
        <w:t>万元，占</w:t>
      </w:r>
      <w:r>
        <w:rPr>
          <w:rFonts w:eastAsia="方正仿宋_GBK"/>
          <w:color w:val="000000"/>
          <w:sz w:val="32"/>
          <w:szCs w:val="32"/>
        </w:rPr>
        <w:t>13.32%</w:t>
      </w:r>
      <w:r>
        <w:rPr>
          <w:rFonts w:eastAsia="方正仿宋_GBK"/>
          <w:color w:val="000000"/>
          <w:sz w:val="32"/>
          <w:szCs w:val="32"/>
        </w:rPr>
        <w:t>；</w:t>
      </w:r>
      <w:r>
        <w:rPr>
          <w:rFonts w:eastAsia="方正仿宋_GBK" w:hint="eastAsia"/>
          <w:color w:val="000000"/>
          <w:sz w:val="32"/>
          <w:szCs w:val="32"/>
        </w:rPr>
        <w:t>事业收入</w:t>
      </w:r>
      <w:r>
        <w:rPr>
          <w:rFonts w:eastAsia="方正仿宋_GBK"/>
          <w:color w:val="000000"/>
          <w:sz w:val="32"/>
          <w:szCs w:val="32"/>
        </w:rPr>
        <w:t>600.</w:t>
      </w:r>
      <w:r>
        <w:rPr>
          <w:rFonts w:eastAsia="方正仿宋_GBK" w:hint="eastAsia"/>
          <w:color w:val="000000"/>
          <w:sz w:val="32"/>
          <w:szCs w:val="32"/>
        </w:rPr>
        <w:t>00</w:t>
      </w:r>
      <w:r>
        <w:rPr>
          <w:rFonts w:eastAsia="方正仿宋_GBK" w:hint="eastAsia"/>
          <w:color w:val="000000"/>
          <w:sz w:val="32"/>
          <w:szCs w:val="32"/>
        </w:rPr>
        <w:t>万元，占</w:t>
      </w:r>
      <w:r>
        <w:rPr>
          <w:rFonts w:eastAsia="方正仿宋_GBK"/>
          <w:color w:val="000000"/>
          <w:sz w:val="32"/>
          <w:szCs w:val="32"/>
        </w:rPr>
        <w:t>21.37</w:t>
      </w:r>
      <w:r>
        <w:rPr>
          <w:rFonts w:eastAsia="方正仿宋_GBK" w:hint="eastAsia"/>
          <w:color w:val="000000"/>
          <w:sz w:val="32"/>
          <w:szCs w:val="32"/>
        </w:rPr>
        <w:t>%</w:t>
      </w:r>
      <w:r>
        <w:rPr>
          <w:rFonts w:eastAsia="方正仿宋_GBK" w:hint="eastAsia"/>
          <w:color w:val="000000"/>
          <w:sz w:val="32"/>
          <w:szCs w:val="32"/>
        </w:rPr>
        <w:t>，</w:t>
      </w:r>
      <w:r>
        <w:rPr>
          <w:rFonts w:eastAsia="方正仿宋_GBK"/>
          <w:color w:val="000000"/>
          <w:sz w:val="32"/>
          <w:szCs w:val="32"/>
        </w:rPr>
        <w:t>其他收入</w:t>
      </w:r>
      <w:r>
        <w:rPr>
          <w:rFonts w:eastAsia="方正仿宋_GBK" w:hint="eastAsia"/>
          <w:color w:val="000000"/>
          <w:sz w:val="32"/>
          <w:szCs w:val="32"/>
        </w:rPr>
        <w:t>1</w:t>
      </w:r>
      <w:r>
        <w:rPr>
          <w:rFonts w:eastAsia="方正仿宋_GBK"/>
          <w:color w:val="000000"/>
          <w:sz w:val="32"/>
          <w:szCs w:val="32"/>
        </w:rPr>
        <w:t>633.53</w:t>
      </w:r>
      <w:r>
        <w:rPr>
          <w:rFonts w:eastAsia="方正仿宋_GBK"/>
          <w:color w:val="000000"/>
          <w:sz w:val="32"/>
          <w:szCs w:val="32"/>
        </w:rPr>
        <w:t>万元，占</w:t>
      </w:r>
      <w:r>
        <w:rPr>
          <w:rFonts w:eastAsia="方正仿宋_GBK"/>
          <w:color w:val="000000"/>
          <w:sz w:val="32"/>
          <w:szCs w:val="32"/>
        </w:rPr>
        <w:t>58.19%</w:t>
      </w:r>
      <w:r>
        <w:rPr>
          <w:rFonts w:eastAsia="方正仿宋_GBK"/>
          <w:color w:val="000000"/>
          <w:sz w:val="32"/>
          <w:szCs w:val="32"/>
        </w:rPr>
        <w:t>；使用非财政拨款结余</w:t>
      </w:r>
      <w:r>
        <w:rPr>
          <w:rFonts w:eastAsia="方正仿宋_GBK" w:hint="eastAsia"/>
          <w:color w:val="000000"/>
          <w:sz w:val="32"/>
          <w:szCs w:val="32"/>
        </w:rPr>
        <w:t>200</w:t>
      </w:r>
      <w:r>
        <w:rPr>
          <w:rFonts w:eastAsia="方正仿宋_GBK"/>
          <w:color w:val="000000"/>
          <w:sz w:val="32"/>
          <w:szCs w:val="32"/>
        </w:rPr>
        <w:t>万元，占</w:t>
      </w:r>
      <w:r>
        <w:rPr>
          <w:rFonts w:eastAsia="方正仿宋_GBK"/>
          <w:color w:val="000000"/>
          <w:sz w:val="32"/>
          <w:szCs w:val="32"/>
        </w:rPr>
        <w:t>7.12%</w:t>
      </w:r>
      <w:r>
        <w:rPr>
          <w:rFonts w:eastAsia="方正仿宋_GBK"/>
          <w:color w:val="000000"/>
          <w:sz w:val="32"/>
          <w:szCs w:val="32"/>
        </w:rPr>
        <w:t>。</w:t>
      </w:r>
    </w:p>
    <w:p w:rsidR="006174B9" w:rsidRDefault="005B2F69">
      <w:pPr>
        <w:pStyle w:val="410"/>
        <w:ind w:firstLineChars="200" w:firstLine="640"/>
        <w:rPr>
          <w:rFonts w:eastAsia="方正仿宋_GBK"/>
          <w:color w:val="FF0000"/>
          <w:sz w:val="32"/>
          <w:szCs w:val="32"/>
        </w:rPr>
      </w:pPr>
      <w:r>
        <w:rPr>
          <w:rFonts w:eastAsia="方正仿宋_GBK"/>
          <w:noProof/>
          <w:color w:val="FF0000"/>
          <w:sz w:val="32"/>
          <w:szCs w:val="32"/>
        </w:rPr>
        <w:drawing>
          <wp:inline distT="0" distB="0" distL="57149" distR="57149">
            <wp:extent cx="4679941" cy="2807927"/>
            <wp:effectExtent l="0" t="0" r="0" b="0"/>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8"/>
                    <a:stretch>
                      <a:fillRect/>
                    </a:stretch>
                  </pic:blipFill>
                  <pic:spPr>
                    <a:xfrm>
                      <a:off x="0" y="0"/>
                      <a:ext cx="4679941" cy="2807927"/>
                    </a:xfrm>
                    <a:prstGeom prst="rect">
                      <a:avLst/>
                    </a:prstGeom>
                    <a:noFill/>
                    <a:ln w="9525" cap="flat" cmpd="sng">
                      <a:noFill/>
                      <a:prstDash val="solid"/>
                      <a:miter/>
                    </a:ln>
                  </pic:spPr>
                </pic:pic>
              </a:graphicData>
            </a:graphic>
          </wp:inline>
        </w:drawing>
      </w:r>
    </w:p>
    <w:p w:rsidR="006174B9" w:rsidRDefault="005B2F69">
      <w:pPr>
        <w:pStyle w:val="410"/>
        <w:spacing w:line="560" w:lineRule="exact"/>
        <w:ind w:firstLineChars="200" w:firstLine="640"/>
        <w:rPr>
          <w:rFonts w:eastAsia="方正黑体_GBK"/>
          <w:sz w:val="32"/>
          <w:szCs w:val="32"/>
        </w:rPr>
      </w:pPr>
      <w:r>
        <w:rPr>
          <w:rFonts w:eastAsia="方正黑体_GBK" w:hint="eastAsia"/>
          <w:sz w:val="32"/>
          <w:szCs w:val="32"/>
        </w:rPr>
        <w:t>三、关于昆山海关综合技术服务中心</w:t>
      </w:r>
      <w:r>
        <w:rPr>
          <w:rFonts w:eastAsia="方正黑体_GBK"/>
          <w:sz w:val="32"/>
          <w:szCs w:val="32"/>
        </w:rPr>
        <w:t>2025</w:t>
      </w:r>
      <w:r>
        <w:rPr>
          <w:rFonts w:eastAsia="方正黑体_GBK" w:hint="eastAsia"/>
          <w:sz w:val="32"/>
          <w:szCs w:val="32"/>
        </w:rPr>
        <w:t>年支出预算</w:t>
      </w:r>
      <w:r>
        <w:rPr>
          <w:rFonts w:eastAsia="方正黑体_GBK" w:hint="eastAsia"/>
          <w:sz w:val="32"/>
          <w:szCs w:val="32"/>
        </w:rPr>
        <w:lastRenderedPageBreak/>
        <w:t>情况说明</w:t>
      </w:r>
    </w:p>
    <w:p w:rsidR="006174B9" w:rsidRDefault="005B2F69">
      <w:pPr>
        <w:pStyle w:val="410"/>
        <w:spacing w:line="560" w:lineRule="exact"/>
        <w:ind w:firstLineChars="200" w:firstLine="640"/>
        <w:rPr>
          <w:rFonts w:eastAsia="方正仿宋_GBK"/>
          <w:color w:val="000000"/>
          <w:sz w:val="32"/>
          <w:szCs w:val="32"/>
        </w:rPr>
      </w:pPr>
      <w:r>
        <w:rPr>
          <w:rFonts w:eastAsia="方正仿宋_GBK" w:hint="eastAsia"/>
          <w:color w:val="000000"/>
          <w:sz w:val="32"/>
          <w:szCs w:val="32"/>
        </w:rPr>
        <w:t>昆山海关综合技术服务中心</w:t>
      </w:r>
      <w:r>
        <w:rPr>
          <w:rFonts w:eastAsia="方正仿宋_GBK"/>
          <w:color w:val="000000"/>
          <w:sz w:val="32"/>
          <w:szCs w:val="32"/>
        </w:rPr>
        <w:t>2025</w:t>
      </w:r>
      <w:r>
        <w:rPr>
          <w:rFonts w:eastAsia="方正仿宋_GBK" w:hint="eastAsia"/>
          <w:color w:val="000000"/>
          <w:sz w:val="32"/>
          <w:szCs w:val="32"/>
        </w:rPr>
        <w:t>年支出预算</w:t>
      </w:r>
      <w:r>
        <w:rPr>
          <w:rFonts w:eastAsia="方正仿宋_GBK"/>
          <w:color w:val="000000"/>
          <w:sz w:val="32"/>
          <w:szCs w:val="32"/>
        </w:rPr>
        <w:t>2807.53</w:t>
      </w:r>
      <w:r>
        <w:rPr>
          <w:rFonts w:eastAsia="方正仿宋_GBK" w:hint="eastAsia"/>
          <w:color w:val="000000"/>
          <w:sz w:val="32"/>
          <w:szCs w:val="32"/>
        </w:rPr>
        <w:t>万元，其中：基本支出</w:t>
      </w:r>
      <w:r>
        <w:rPr>
          <w:rFonts w:eastAsia="方正仿宋_GBK"/>
          <w:color w:val="000000"/>
          <w:sz w:val="32"/>
          <w:szCs w:val="32"/>
        </w:rPr>
        <w:t>2804.53</w:t>
      </w:r>
      <w:r>
        <w:rPr>
          <w:rFonts w:eastAsia="方正仿宋_GBK" w:hint="eastAsia"/>
          <w:color w:val="000000"/>
          <w:sz w:val="32"/>
          <w:szCs w:val="32"/>
        </w:rPr>
        <w:t>万元，占</w:t>
      </w:r>
      <w:r>
        <w:rPr>
          <w:rFonts w:eastAsia="方正仿宋_GBK" w:hint="eastAsia"/>
          <w:color w:val="000000"/>
          <w:sz w:val="32"/>
          <w:szCs w:val="32"/>
        </w:rPr>
        <w:t>99.89</w:t>
      </w:r>
      <w:r>
        <w:rPr>
          <w:rFonts w:eastAsia="方正仿宋_GBK"/>
          <w:color w:val="000000"/>
          <w:sz w:val="32"/>
          <w:szCs w:val="32"/>
        </w:rPr>
        <w:t>%</w:t>
      </w:r>
      <w:r>
        <w:rPr>
          <w:rFonts w:eastAsia="方正仿宋_GBK" w:hint="eastAsia"/>
          <w:color w:val="000000"/>
          <w:sz w:val="32"/>
          <w:szCs w:val="32"/>
        </w:rPr>
        <w:t>；项目支出</w:t>
      </w:r>
      <w:r>
        <w:rPr>
          <w:rFonts w:eastAsia="方正仿宋_GBK" w:hint="eastAsia"/>
          <w:color w:val="000000"/>
          <w:sz w:val="32"/>
          <w:szCs w:val="32"/>
        </w:rPr>
        <w:t>3</w:t>
      </w:r>
      <w:r>
        <w:rPr>
          <w:rFonts w:eastAsia="方正仿宋_GBK" w:hint="eastAsia"/>
          <w:color w:val="000000"/>
          <w:sz w:val="32"/>
          <w:szCs w:val="32"/>
        </w:rPr>
        <w:t>万元，占</w:t>
      </w:r>
      <w:r>
        <w:rPr>
          <w:rFonts w:eastAsia="方正仿宋_GBK" w:hint="eastAsia"/>
          <w:color w:val="000000"/>
          <w:sz w:val="32"/>
          <w:szCs w:val="32"/>
        </w:rPr>
        <w:t>0.11</w:t>
      </w:r>
      <w:r>
        <w:rPr>
          <w:rFonts w:eastAsia="方正仿宋_GBK"/>
          <w:color w:val="000000"/>
          <w:sz w:val="32"/>
          <w:szCs w:val="32"/>
        </w:rPr>
        <w:t>%</w:t>
      </w:r>
      <w:r>
        <w:rPr>
          <w:rFonts w:eastAsia="方正仿宋_GBK" w:hint="eastAsia"/>
          <w:color w:val="000000"/>
          <w:sz w:val="32"/>
          <w:szCs w:val="32"/>
        </w:rPr>
        <w:t>。</w:t>
      </w:r>
    </w:p>
    <w:p w:rsidR="006174B9" w:rsidRDefault="005B2F69">
      <w:pPr>
        <w:pStyle w:val="410"/>
        <w:spacing w:line="560" w:lineRule="exact"/>
        <w:rPr>
          <w:sz w:val="32"/>
          <w:szCs w:val="32"/>
        </w:rPr>
      </w:pPr>
      <w:r>
        <w:rPr>
          <w:noProof/>
        </w:rPr>
        <w:drawing>
          <wp:anchor distT="0" distB="0" distL="114300" distR="114300" simplePos="0" relativeHeight="19" behindDoc="0" locked="0" layoutInCell="1" hidden="0" allowOverlap="1">
            <wp:simplePos x="0" y="0"/>
            <wp:positionH relativeFrom="margin">
              <wp:posOffset>61162</wp:posOffset>
            </wp:positionH>
            <wp:positionV relativeFrom="paragraph">
              <wp:posOffset>36095</wp:posOffset>
            </wp:positionV>
            <wp:extent cx="5026258" cy="2731168"/>
            <wp:effectExtent l="0" t="0" r="0" b="0"/>
            <wp:wrapNone/>
            <wp:docPr id="10" name="图表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图表 8 12"/>
                    <pic:cNvPicPr/>
                  </pic:nvPicPr>
                  <pic:blipFill>
                    <a:blip r:embed="rId9"/>
                    <a:stretch>
                      <a:fillRect/>
                    </a:stretch>
                  </pic:blipFill>
                  <pic:spPr>
                    <a:xfrm>
                      <a:off x="0" y="0"/>
                      <a:ext cx="5026258" cy="2731168"/>
                    </a:xfrm>
                    <a:prstGeom prst="rect">
                      <a:avLst/>
                    </a:prstGeom>
                    <a:ln w="9525" cap="flat" cmpd="sng">
                      <a:solidFill>
                        <a:srgbClr val="000000"/>
                      </a:solidFill>
                      <a:prstDash val="solid"/>
                      <a:miter/>
                    </a:ln>
                  </pic:spPr>
                </pic:pic>
              </a:graphicData>
            </a:graphic>
          </wp:anchor>
        </w:drawing>
      </w:r>
    </w:p>
    <w:p w:rsidR="006174B9" w:rsidRDefault="006174B9">
      <w:pPr>
        <w:pStyle w:val="410"/>
        <w:spacing w:line="560" w:lineRule="exact"/>
        <w:ind w:firstLineChars="200" w:firstLine="640"/>
        <w:rPr>
          <w:rFonts w:eastAsia="方正黑体_GBK"/>
          <w:sz w:val="32"/>
          <w:szCs w:val="32"/>
        </w:rPr>
      </w:pPr>
    </w:p>
    <w:p w:rsidR="006174B9" w:rsidRDefault="006174B9">
      <w:pPr>
        <w:pStyle w:val="410"/>
        <w:spacing w:line="560" w:lineRule="exact"/>
        <w:ind w:firstLineChars="200" w:firstLine="640"/>
        <w:rPr>
          <w:rFonts w:eastAsia="方正黑体_GBK"/>
          <w:sz w:val="32"/>
          <w:szCs w:val="32"/>
        </w:rPr>
      </w:pPr>
    </w:p>
    <w:p w:rsidR="006174B9" w:rsidRDefault="006174B9">
      <w:pPr>
        <w:pStyle w:val="410"/>
        <w:spacing w:line="560" w:lineRule="exact"/>
        <w:ind w:firstLineChars="200" w:firstLine="640"/>
        <w:rPr>
          <w:rFonts w:eastAsia="方正黑体_GBK"/>
          <w:sz w:val="32"/>
          <w:szCs w:val="32"/>
        </w:rPr>
      </w:pPr>
    </w:p>
    <w:p w:rsidR="006174B9" w:rsidRDefault="006174B9">
      <w:pPr>
        <w:pStyle w:val="410"/>
        <w:spacing w:line="560" w:lineRule="exact"/>
        <w:ind w:firstLineChars="200" w:firstLine="640"/>
        <w:rPr>
          <w:rFonts w:eastAsia="方正黑体_GBK"/>
          <w:sz w:val="32"/>
          <w:szCs w:val="32"/>
        </w:rPr>
      </w:pPr>
    </w:p>
    <w:p w:rsidR="006174B9" w:rsidRDefault="006174B9">
      <w:pPr>
        <w:pStyle w:val="410"/>
        <w:spacing w:line="560" w:lineRule="exact"/>
        <w:ind w:firstLineChars="200" w:firstLine="640"/>
        <w:rPr>
          <w:rFonts w:eastAsia="方正黑体_GBK"/>
          <w:sz w:val="32"/>
          <w:szCs w:val="32"/>
        </w:rPr>
      </w:pPr>
    </w:p>
    <w:p w:rsidR="006174B9" w:rsidRDefault="006174B9">
      <w:pPr>
        <w:pStyle w:val="410"/>
        <w:spacing w:line="560" w:lineRule="exact"/>
        <w:ind w:firstLineChars="200" w:firstLine="640"/>
        <w:rPr>
          <w:rFonts w:eastAsia="方正黑体_GBK"/>
          <w:sz w:val="32"/>
          <w:szCs w:val="32"/>
        </w:rPr>
      </w:pPr>
    </w:p>
    <w:p w:rsidR="006174B9" w:rsidRDefault="006174B9">
      <w:pPr>
        <w:pStyle w:val="410"/>
        <w:spacing w:line="560" w:lineRule="exact"/>
        <w:ind w:firstLineChars="200" w:firstLine="640"/>
        <w:rPr>
          <w:rFonts w:eastAsia="方正黑体_GBK"/>
          <w:sz w:val="32"/>
          <w:szCs w:val="32"/>
        </w:rPr>
      </w:pPr>
    </w:p>
    <w:p w:rsidR="006174B9" w:rsidRDefault="005B2F69">
      <w:pPr>
        <w:pStyle w:val="410"/>
        <w:spacing w:line="560" w:lineRule="exact"/>
        <w:ind w:firstLineChars="200" w:firstLine="640"/>
        <w:rPr>
          <w:rFonts w:eastAsia="方正黑体_GBK"/>
          <w:sz w:val="32"/>
          <w:szCs w:val="32"/>
        </w:rPr>
      </w:pPr>
      <w:r>
        <w:rPr>
          <w:rFonts w:eastAsia="方正黑体_GBK" w:hint="eastAsia"/>
          <w:sz w:val="32"/>
          <w:szCs w:val="32"/>
        </w:rPr>
        <w:t>四、关于昆山海关综合技术服务中心</w:t>
      </w:r>
      <w:r>
        <w:rPr>
          <w:rFonts w:eastAsia="方正黑体_GBK" w:hint="eastAsia"/>
          <w:sz w:val="32"/>
          <w:szCs w:val="32"/>
        </w:rPr>
        <w:t>2025</w:t>
      </w:r>
      <w:r>
        <w:rPr>
          <w:rFonts w:eastAsia="方正黑体_GBK" w:hint="eastAsia"/>
          <w:sz w:val="32"/>
          <w:szCs w:val="32"/>
        </w:rPr>
        <w:t>年财政拨款收支预算情况的总体说明</w:t>
      </w:r>
    </w:p>
    <w:p w:rsidR="006174B9" w:rsidRDefault="005B2F69">
      <w:pPr>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昆山海关</w:t>
      </w:r>
      <w:r>
        <w:rPr>
          <w:rFonts w:eastAsia="方正仿宋_GBK" w:hint="eastAsia"/>
          <w:color w:val="000000"/>
          <w:sz w:val="32"/>
          <w:szCs w:val="32"/>
        </w:rPr>
        <w:t>综合技术服务中心</w:t>
      </w:r>
      <w:r>
        <w:rPr>
          <w:rFonts w:ascii="Times New Roman" w:eastAsia="方正仿宋_GBK" w:hAnsi="Times New Roman" w:hint="eastAsia"/>
          <w:color w:val="000000"/>
          <w:sz w:val="32"/>
          <w:szCs w:val="32"/>
        </w:rPr>
        <w:t>2025</w:t>
      </w:r>
      <w:r>
        <w:rPr>
          <w:rFonts w:ascii="Times New Roman" w:eastAsia="方正仿宋_GBK" w:hAnsi="Times New Roman" w:hint="eastAsia"/>
          <w:color w:val="000000"/>
          <w:sz w:val="32"/>
          <w:szCs w:val="32"/>
        </w:rPr>
        <w:t>年财政拨款收支总预算</w:t>
      </w:r>
      <w:r>
        <w:rPr>
          <w:rFonts w:ascii="Times New Roman" w:eastAsia="方正仿宋_GBK" w:hAnsi="Times New Roman"/>
          <w:color w:val="000000"/>
          <w:sz w:val="32"/>
          <w:szCs w:val="32"/>
        </w:rPr>
        <w:t>374</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万元。收入全部为一般公共预算拨款，无政府性基金预算拨款和</w:t>
      </w:r>
      <w:r>
        <w:rPr>
          <w:rFonts w:ascii="Times New Roman" w:eastAsia="方正仿宋_GBK" w:hAnsi="Times New Roman"/>
          <w:color w:val="000000"/>
          <w:sz w:val="32"/>
          <w:szCs w:val="32"/>
        </w:rPr>
        <w:t>国有资本经营预算</w:t>
      </w:r>
      <w:r>
        <w:rPr>
          <w:rFonts w:ascii="Times New Roman" w:eastAsia="方正仿宋_GBK" w:hAnsi="Times New Roman" w:hint="eastAsia"/>
          <w:color w:val="000000"/>
          <w:sz w:val="32"/>
          <w:szCs w:val="32"/>
        </w:rPr>
        <w:t>拨款。收入包括：一般公共预算当年财政拨款收入</w:t>
      </w:r>
      <w:r>
        <w:rPr>
          <w:rFonts w:ascii="Times New Roman" w:eastAsia="方正仿宋_GBK" w:hAnsi="Times New Roman"/>
          <w:color w:val="000000"/>
          <w:sz w:val="32"/>
          <w:szCs w:val="32"/>
        </w:rPr>
        <w:t>374</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万元、上年结转</w:t>
      </w:r>
      <w:r>
        <w:rPr>
          <w:rFonts w:ascii="Times New Roman" w:eastAsia="方正仿宋_GBK" w:hAnsi="Times New Roman" w:hint="eastAsia"/>
          <w:color w:val="000000"/>
          <w:sz w:val="32"/>
          <w:szCs w:val="32"/>
        </w:rPr>
        <w:t>0.00</w:t>
      </w:r>
      <w:r>
        <w:rPr>
          <w:rFonts w:ascii="Times New Roman" w:eastAsia="方正仿宋_GBK" w:hAnsi="Times New Roman" w:hint="eastAsia"/>
          <w:color w:val="000000"/>
          <w:sz w:val="32"/>
          <w:szCs w:val="32"/>
        </w:rPr>
        <w:t>万元。支出包括：一般公共服务支出</w:t>
      </w:r>
      <w:r>
        <w:rPr>
          <w:rFonts w:ascii="Times New Roman" w:eastAsia="方正仿宋_GBK" w:hAnsi="Times New Roman"/>
          <w:color w:val="000000"/>
          <w:sz w:val="32"/>
          <w:szCs w:val="32"/>
        </w:rPr>
        <w:t>374</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万元、住房保障支出</w:t>
      </w:r>
      <w:r>
        <w:rPr>
          <w:rFonts w:ascii="Times New Roman" w:eastAsia="方正仿宋_GBK" w:hAnsi="Times New Roman"/>
          <w:color w:val="000000"/>
          <w:sz w:val="32"/>
          <w:szCs w:val="32"/>
        </w:rPr>
        <w:t>0</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w:t>
      </w:r>
    </w:p>
    <w:p w:rsidR="006174B9" w:rsidRDefault="005B2F69">
      <w:pPr>
        <w:rPr>
          <w:rFonts w:ascii="Times New Roman" w:eastAsia="方正黑体_GBK" w:hAnsi="Times New Roman"/>
          <w:sz w:val="32"/>
          <w:szCs w:val="32"/>
        </w:rPr>
      </w:pPr>
      <w:r>
        <w:rPr>
          <w:rFonts w:ascii="Times New Roman" w:eastAsia="方正黑体_GBK" w:hAnsi="Times New Roman"/>
          <w:noProof/>
          <w:sz w:val="32"/>
          <w:szCs w:val="32"/>
        </w:rPr>
        <w:lastRenderedPageBreak/>
        <w:drawing>
          <wp:inline distT="0" distB="0" distL="57149" distR="57149">
            <wp:extent cx="4679941" cy="3148980"/>
            <wp:effectExtent l="0" t="0" r="0" b="0"/>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0"/>
                    <a:stretch>
                      <a:fillRect/>
                    </a:stretch>
                  </pic:blipFill>
                  <pic:spPr>
                    <a:xfrm>
                      <a:off x="0" y="0"/>
                      <a:ext cx="4679941" cy="3148980"/>
                    </a:xfrm>
                    <a:prstGeom prst="rect">
                      <a:avLst/>
                    </a:prstGeom>
                    <a:noFill/>
                    <a:ln w="9525" cap="flat" cmpd="sng">
                      <a:noFill/>
                      <a:prstDash val="solid"/>
                      <a:miter/>
                    </a:ln>
                  </pic:spPr>
                </pic:pic>
              </a:graphicData>
            </a:graphic>
          </wp:inline>
        </w:drawing>
      </w:r>
    </w:p>
    <w:p w:rsidR="006174B9" w:rsidRDefault="005B2F69">
      <w:pPr>
        <w:ind w:firstLineChars="150" w:firstLine="480"/>
        <w:rPr>
          <w:rFonts w:ascii="Times New Roman" w:eastAsia="方正黑体_GBK" w:hAnsi="Times New Roman"/>
          <w:sz w:val="32"/>
          <w:szCs w:val="32"/>
        </w:rPr>
      </w:pPr>
      <w:r>
        <w:rPr>
          <w:rFonts w:ascii="Times New Roman" w:eastAsia="方正黑体_GBK" w:hAnsi="Times New Roman" w:hint="eastAsia"/>
          <w:sz w:val="32"/>
          <w:szCs w:val="32"/>
        </w:rPr>
        <w:t>五、关于昆山海关综合技术服务中心</w:t>
      </w:r>
      <w:r>
        <w:rPr>
          <w:rFonts w:ascii="Times New Roman" w:eastAsia="方正黑体_GBK" w:hAnsi="Times New Roman" w:hint="eastAsia"/>
          <w:sz w:val="32"/>
          <w:szCs w:val="32"/>
        </w:rPr>
        <w:t>2025</w:t>
      </w:r>
      <w:r>
        <w:rPr>
          <w:rFonts w:ascii="Times New Roman" w:eastAsia="方正黑体_GBK" w:hAnsi="Times New Roman" w:hint="eastAsia"/>
          <w:sz w:val="32"/>
          <w:szCs w:val="32"/>
        </w:rPr>
        <w:t>年一般公共预算当年财政拨款情况说明</w:t>
      </w:r>
    </w:p>
    <w:p w:rsidR="006174B9" w:rsidRDefault="005B2F69">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rsidR="006174B9" w:rsidRDefault="005B2F69">
      <w:pPr>
        <w:spacing w:line="560" w:lineRule="exact"/>
        <w:ind w:firstLineChars="200" w:firstLine="640"/>
        <w:rPr>
          <w:rFonts w:ascii="Times New Roman" w:hAnsi="Times New Roman"/>
          <w:szCs w:val="21"/>
        </w:rPr>
      </w:pPr>
      <w:r>
        <w:rPr>
          <w:rFonts w:ascii="Times New Roman" w:eastAsia="方正仿宋_GBK" w:hAnsi="Times New Roman" w:hint="eastAsia"/>
          <w:color w:val="000000"/>
          <w:sz w:val="32"/>
          <w:szCs w:val="32"/>
        </w:rPr>
        <w:t>昆山海关综合技术服务中心</w:t>
      </w:r>
      <w:r>
        <w:rPr>
          <w:rFonts w:ascii="Times New Roman" w:eastAsia="方正仿宋_GBK" w:hAnsi="Times New Roman" w:hint="eastAsia"/>
          <w:color w:val="000000"/>
          <w:sz w:val="32"/>
          <w:szCs w:val="32"/>
        </w:rPr>
        <w:t>2025</w:t>
      </w:r>
      <w:r>
        <w:rPr>
          <w:rFonts w:ascii="Times New Roman" w:eastAsia="方正仿宋_GBK" w:hAnsi="Times New Roman" w:hint="eastAsia"/>
          <w:color w:val="000000"/>
          <w:sz w:val="32"/>
          <w:szCs w:val="32"/>
        </w:rPr>
        <w:t>年一般公共预算当年财政拨款预算</w:t>
      </w:r>
      <w:r>
        <w:rPr>
          <w:rFonts w:ascii="Times New Roman" w:eastAsia="方正仿宋_GBK" w:hAnsi="Times New Roman"/>
          <w:color w:val="000000"/>
          <w:sz w:val="32"/>
          <w:szCs w:val="32"/>
        </w:rPr>
        <w:t>374.</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万元，比</w:t>
      </w:r>
      <w:r>
        <w:rPr>
          <w:rFonts w:ascii="Times New Roman" w:eastAsia="方正仿宋_GBK" w:hAnsi="Times New Roman" w:hint="eastAsia"/>
          <w:color w:val="000000"/>
          <w:sz w:val="32"/>
          <w:szCs w:val="32"/>
        </w:rPr>
        <w:t>2024</w:t>
      </w:r>
      <w:r>
        <w:rPr>
          <w:rFonts w:ascii="Times New Roman" w:eastAsia="方正仿宋_GBK" w:hAnsi="Times New Roman" w:hint="eastAsia"/>
          <w:color w:val="000000"/>
          <w:sz w:val="32"/>
          <w:szCs w:val="32"/>
        </w:rPr>
        <w:t>年执行数</w:t>
      </w:r>
      <w:r>
        <w:rPr>
          <w:rFonts w:ascii="Times New Roman" w:eastAsia="方正仿宋_GBK" w:hAnsi="Times New Roman"/>
          <w:color w:val="000000"/>
          <w:sz w:val="32"/>
          <w:szCs w:val="32"/>
        </w:rPr>
        <w:t>353</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增加</w:t>
      </w:r>
      <w:r>
        <w:rPr>
          <w:rFonts w:ascii="Times New Roman" w:eastAsia="方正仿宋_GBK" w:hAnsi="Times New Roman"/>
          <w:color w:val="000000"/>
          <w:sz w:val="32"/>
          <w:szCs w:val="32"/>
        </w:rPr>
        <w:t>21</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增长</w:t>
      </w:r>
      <w:r>
        <w:rPr>
          <w:rFonts w:ascii="Times New Roman" w:eastAsia="方正仿宋_GBK" w:hAnsi="Times New Roman"/>
          <w:color w:val="000000"/>
          <w:sz w:val="32"/>
          <w:szCs w:val="32"/>
        </w:rPr>
        <w:t>5.95</w:t>
      </w: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年，按照党中央、国务院关于过紧日子的有关要求，全面加强</w:t>
      </w:r>
      <w:r>
        <w:rPr>
          <w:rFonts w:ascii="Times New Roman" w:eastAsia="方正仿宋_GBK" w:hAnsi="Times New Roman"/>
          <w:sz w:val="32"/>
          <w:szCs w:val="32"/>
        </w:rPr>
        <w:t>各类资源统筹，优化支出结构，坚持钱要花到要</w:t>
      </w:r>
      <w:r>
        <w:rPr>
          <w:rFonts w:ascii="Times New Roman" w:eastAsia="方正仿宋_GBK" w:hAnsi="Times New Roman" w:hint="eastAsia"/>
          <w:sz w:val="32"/>
          <w:szCs w:val="32"/>
        </w:rPr>
        <w:t>处</w:t>
      </w:r>
      <w:r>
        <w:rPr>
          <w:rFonts w:ascii="Times New Roman" w:eastAsia="方正仿宋_GBK" w:hAnsi="Times New Roman"/>
          <w:sz w:val="32"/>
          <w:szCs w:val="32"/>
        </w:rPr>
        <w:t>，坚持优先保障民生、</w:t>
      </w:r>
      <w:r>
        <w:rPr>
          <w:rFonts w:ascii="Times New Roman" w:eastAsia="方正仿宋_GBK" w:hAnsi="Times New Roman" w:hint="eastAsia"/>
          <w:sz w:val="32"/>
          <w:szCs w:val="32"/>
        </w:rPr>
        <w:t>重点保障刚性运转</w:t>
      </w:r>
      <w:r>
        <w:rPr>
          <w:rFonts w:ascii="Times New Roman" w:eastAsia="方正仿宋_GBK" w:hAnsi="Times New Roman"/>
          <w:sz w:val="32"/>
          <w:szCs w:val="32"/>
        </w:rPr>
        <w:t>，精准保障海关改革发展。</w:t>
      </w:r>
      <w:r>
        <w:rPr>
          <w:rFonts w:ascii="Times New Roman" w:eastAsia="方正仿宋_GBK" w:hAnsi="Times New Roman" w:hint="eastAsia"/>
          <w:sz w:val="32"/>
          <w:szCs w:val="32"/>
        </w:rPr>
        <w:t>大力压减</w:t>
      </w:r>
      <w:r>
        <w:rPr>
          <w:rFonts w:ascii="Times New Roman" w:eastAsia="方正仿宋_GBK" w:hAnsi="Times New Roman"/>
          <w:sz w:val="32"/>
          <w:szCs w:val="32"/>
        </w:rPr>
        <w:t>一般性支出，</w:t>
      </w:r>
      <w:r>
        <w:rPr>
          <w:rFonts w:ascii="Times New Roman" w:eastAsia="方正仿宋_GBK" w:hAnsi="Times New Roman" w:hint="eastAsia"/>
          <w:sz w:val="32"/>
          <w:szCs w:val="32"/>
        </w:rPr>
        <w:t>重点压减非急需非刚性支出，同时合理保障了海关关务、检验检疫、缉私警察等必要支出需求，体现在有关支出科目中。</w:t>
      </w:r>
    </w:p>
    <w:p w:rsidR="006174B9" w:rsidRDefault="005B2F69">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rsidR="006174B9" w:rsidRDefault="005B2F69">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sz w:val="32"/>
          <w:szCs w:val="32"/>
        </w:rPr>
        <w:t>2025</w:t>
      </w:r>
      <w:r>
        <w:rPr>
          <w:rFonts w:ascii="Times New Roman" w:eastAsia="方正仿宋_GBK" w:hAnsi="Times New Roman" w:hint="eastAsia"/>
          <w:sz w:val="32"/>
          <w:szCs w:val="32"/>
        </w:rPr>
        <w:t>年部门预算中，一般公共预算当年财政拨款用于以下方面：</w:t>
      </w:r>
      <w:r>
        <w:rPr>
          <w:rFonts w:ascii="Times New Roman" w:eastAsia="方正仿宋_GBK" w:hAnsi="Times New Roman" w:hint="eastAsia"/>
          <w:color w:val="000000"/>
          <w:sz w:val="32"/>
          <w:szCs w:val="32"/>
        </w:rPr>
        <w:t>一般公共服务（类）支出</w:t>
      </w:r>
      <w:r>
        <w:rPr>
          <w:rFonts w:ascii="Times New Roman" w:eastAsia="方正仿宋_GBK" w:hAnsi="Times New Roman"/>
          <w:color w:val="000000"/>
          <w:sz w:val="32"/>
          <w:szCs w:val="32"/>
        </w:rPr>
        <w:t>374.</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万元，占</w:t>
      </w:r>
      <w:r>
        <w:rPr>
          <w:rFonts w:ascii="Times New Roman" w:eastAsia="方正仿宋_GBK" w:hAnsi="Times New Roman"/>
          <w:color w:val="000000"/>
          <w:sz w:val="32"/>
          <w:szCs w:val="32"/>
        </w:rPr>
        <w:t>100</w:t>
      </w: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w:t>
      </w:r>
    </w:p>
    <w:p w:rsidR="006174B9" w:rsidRDefault="005B2F69">
      <w:pPr>
        <w:ind w:firstLineChars="200" w:firstLine="640"/>
        <w:rPr>
          <w:rFonts w:ascii="Times New Roman" w:eastAsia="方正仿宋_GBK" w:hAnsi="Times New Roman"/>
          <w:sz w:val="32"/>
          <w:szCs w:val="32"/>
        </w:rPr>
      </w:pPr>
      <w:r>
        <w:rPr>
          <w:rFonts w:ascii="Times New Roman" w:eastAsia="方正仿宋_GBK" w:hAnsi="Times New Roman"/>
          <w:noProof/>
          <w:sz w:val="32"/>
          <w:szCs w:val="32"/>
        </w:rPr>
        <w:lastRenderedPageBreak/>
        <w:drawing>
          <wp:inline distT="0" distB="0" distL="57149" distR="57149">
            <wp:extent cx="4679941" cy="3148980"/>
            <wp:effectExtent l="0" t="0" r="0" b="0"/>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0"/>
                    <a:stretch>
                      <a:fillRect/>
                    </a:stretch>
                  </pic:blipFill>
                  <pic:spPr>
                    <a:xfrm>
                      <a:off x="0" y="0"/>
                      <a:ext cx="4679941" cy="3148980"/>
                    </a:xfrm>
                    <a:prstGeom prst="rect">
                      <a:avLst/>
                    </a:prstGeom>
                    <a:noFill/>
                    <a:ln w="9525" cap="flat" cmpd="sng">
                      <a:noFill/>
                      <a:prstDash val="solid"/>
                      <a:miter/>
                    </a:ln>
                  </pic:spPr>
                </pic:pic>
              </a:graphicData>
            </a:graphic>
          </wp:inline>
        </w:drawing>
      </w:r>
    </w:p>
    <w:p w:rsidR="006174B9" w:rsidRDefault="005B2F69">
      <w:pPr>
        <w:spacing w:line="560" w:lineRule="exact"/>
        <w:ind w:firstLineChars="200" w:firstLine="643"/>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color w:val="000000"/>
          <w:sz w:val="32"/>
          <w:szCs w:val="32"/>
        </w:rPr>
        <w:t>．一般公共服务支出（类）海关事务（款）</w:t>
      </w:r>
      <w:r>
        <w:rPr>
          <w:rFonts w:ascii="Times New Roman" w:eastAsia="方正仿宋_GBK" w:hAnsi="Times New Roman" w:hint="eastAsia"/>
          <w:color w:val="000000"/>
          <w:sz w:val="32"/>
          <w:szCs w:val="32"/>
        </w:rPr>
        <w:t>2025</w:t>
      </w:r>
      <w:r>
        <w:rPr>
          <w:rFonts w:ascii="Times New Roman" w:eastAsia="方正仿宋_GBK" w:hAnsi="Times New Roman" w:hint="eastAsia"/>
          <w:color w:val="000000"/>
          <w:sz w:val="32"/>
          <w:szCs w:val="32"/>
        </w:rPr>
        <w:t>年预算</w:t>
      </w:r>
      <w:r>
        <w:rPr>
          <w:rFonts w:ascii="Times New Roman" w:eastAsia="方正仿宋_GBK" w:hAnsi="Times New Roman"/>
          <w:color w:val="000000"/>
          <w:sz w:val="32"/>
          <w:szCs w:val="32"/>
        </w:rPr>
        <w:t>374</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万元，比</w:t>
      </w:r>
      <w:r>
        <w:rPr>
          <w:rFonts w:ascii="Times New Roman" w:eastAsia="方正仿宋_GBK" w:hAnsi="Times New Roman" w:hint="eastAsia"/>
          <w:color w:val="000000"/>
          <w:sz w:val="32"/>
          <w:szCs w:val="32"/>
        </w:rPr>
        <w:t>2024</w:t>
      </w:r>
      <w:r>
        <w:rPr>
          <w:rFonts w:ascii="Times New Roman" w:eastAsia="方正仿宋_GBK" w:hAnsi="Times New Roman" w:hint="eastAsia"/>
          <w:color w:val="000000"/>
          <w:sz w:val="32"/>
          <w:szCs w:val="32"/>
        </w:rPr>
        <w:t>年执行数</w:t>
      </w:r>
      <w:r>
        <w:rPr>
          <w:rFonts w:ascii="Times New Roman" w:eastAsia="方正仿宋_GBK" w:hAnsi="Times New Roman" w:hint="eastAsia"/>
          <w:color w:val="000000"/>
          <w:sz w:val="32"/>
          <w:szCs w:val="32"/>
        </w:rPr>
        <w:t>3</w:t>
      </w:r>
      <w:r>
        <w:rPr>
          <w:rFonts w:ascii="Times New Roman" w:eastAsia="方正仿宋_GBK" w:hAnsi="Times New Roman"/>
          <w:color w:val="000000"/>
          <w:sz w:val="32"/>
          <w:szCs w:val="32"/>
        </w:rPr>
        <w:t>53</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增加</w:t>
      </w:r>
      <w:r>
        <w:rPr>
          <w:rFonts w:ascii="Times New Roman" w:eastAsia="方正仿宋_GBK" w:hAnsi="Times New Roman"/>
          <w:color w:val="000000"/>
          <w:sz w:val="32"/>
          <w:szCs w:val="32"/>
        </w:rPr>
        <w:t>21</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增长</w:t>
      </w:r>
      <w:r>
        <w:rPr>
          <w:rFonts w:ascii="Times New Roman" w:eastAsia="方正仿宋_GBK" w:hAnsi="Times New Roman"/>
          <w:color w:val="000000"/>
          <w:sz w:val="32"/>
          <w:szCs w:val="32"/>
        </w:rPr>
        <w:t>5.95</w:t>
      </w: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其中：</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）海关关务（项）</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年预算</w:t>
      </w:r>
      <w:r>
        <w:rPr>
          <w:rFonts w:ascii="Times New Roman" w:eastAsia="方正仿宋_GBK" w:hAnsi="Times New Roman" w:hint="eastAsia"/>
          <w:sz w:val="32"/>
          <w:szCs w:val="32"/>
        </w:rPr>
        <w:t>3</w:t>
      </w:r>
      <w:r>
        <w:rPr>
          <w:rFonts w:ascii="Times New Roman" w:eastAsia="方正仿宋_GBK" w:hAnsi="Times New Roman" w:hint="eastAsia"/>
          <w:sz w:val="32"/>
          <w:szCs w:val="32"/>
        </w:rPr>
        <w:t>万元，比</w:t>
      </w:r>
      <w:r>
        <w:rPr>
          <w:rFonts w:ascii="Times New Roman" w:eastAsia="方正仿宋_GBK" w:hAnsi="Times New Roman" w:hint="eastAsia"/>
          <w:sz w:val="32"/>
          <w:szCs w:val="32"/>
        </w:rPr>
        <w:t>2024</w:t>
      </w:r>
      <w:r>
        <w:rPr>
          <w:rFonts w:ascii="Times New Roman" w:eastAsia="方正仿宋_GBK" w:hAnsi="Times New Roman" w:hint="eastAsia"/>
          <w:sz w:val="32"/>
          <w:szCs w:val="32"/>
        </w:rPr>
        <w:t>年执行数一致，增长</w:t>
      </w:r>
      <w:r>
        <w:rPr>
          <w:rFonts w:ascii="Times New Roman" w:eastAsia="方正仿宋_GBK" w:hAnsi="Times New Roman" w:hint="eastAsia"/>
          <w:sz w:val="32"/>
          <w:szCs w:val="32"/>
        </w:rPr>
        <w:t>0.00%</w:t>
      </w:r>
      <w:r>
        <w:rPr>
          <w:rFonts w:ascii="Times New Roman" w:eastAsia="方正仿宋_GBK" w:hAnsi="Times New Roman" w:hint="eastAsia"/>
          <w:sz w:val="32"/>
          <w:szCs w:val="32"/>
        </w:rPr>
        <w:t>。主要用于海关仪器设备购置及能力保障专项支出。</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w:t>
      </w:r>
      <w:r>
        <w:rPr>
          <w:rFonts w:ascii="Times New Roman" w:eastAsia="方正仿宋_GBK" w:hAnsi="Times New Roman" w:hint="eastAsia"/>
          <w:color w:val="000000"/>
          <w:sz w:val="32"/>
          <w:szCs w:val="32"/>
        </w:rPr>
        <w:t>事业运行（项）</w:t>
      </w:r>
      <w:r>
        <w:rPr>
          <w:rFonts w:ascii="Times New Roman" w:eastAsia="方正仿宋_GBK" w:hAnsi="Times New Roman" w:hint="eastAsia"/>
          <w:color w:val="000000"/>
          <w:sz w:val="32"/>
          <w:szCs w:val="32"/>
        </w:rPr>
        <w:t>2025</w:t>
      </w:r>
      <w:r>
        <w:rPr>
          <w:rFonts w:ascii="Times New Roman" w:eastAsia="方正仿宋_GBK" w:hAnsi="Times New Roman" w:hint="eastAsia"/>
          <w:color w:val="000000"/>
          <w:sz w:val="32"/>
          <w:szCs w:val="32"/>
        </w:rPr>
        <w:t>年预算</w:t>
      </w:r>
      <w:r>
        <w:rPr>
          <w:rFonts w:ascii="Times New Roman" w:eastAsia="方正仿宋_GBK" w:hAnsi="Times New Roman" w:hint="eastAsia"/>
          <w:color w:val="000000"/>
          <w:sz w:val="32"/>
          <w:szCs w:val="32"/>
        </w:rPr>
        <w:t>3</w:t>
      </w:r>
      <w:r>
        <w:rPr>
          <w:rFonts w:ascii="Times New Roman" w:eastAsia="方正仿宋_GBK" w:hAnsi="Times New Roman"/>
          <w:color w:val="000000"/>
          <w:sz w:val="32"/>
          <w:szCs w:val="32"/>
        </w:rPr>
        <w:t>71</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万元，比</w:t>
      </w:r>
      <w:r>
        <w:rPr>
          <w:rFonts w:ascii="Times New Roman" w:eastAsia="方正仿宋_GBK" w:hAnsi="Times New Roman" w:hint="eastAsia"/>
          <w:color w:val="000000"/>
          <w:sz w:val="32"/>
          <w:szCs w:val="32"/>
        </w:rPr>
        <w:t>2024</w:t>
      </w:r>
      <w:r>
        <w:rPr>
          <w:rFonts w:ascii="Times New Roman" w:eastAsia="方正仿宋_GBK" w:hAnsi="Times New Roman" w:hint="eastAsia"/>
          <w:color w:val="000000"/>
          <w:sz w:val="32"/>
          <w:szCs w:val="32"/>
        </w:rPr>
        <w:t>年执行数</w:t>
      </w:r>
      <w:r>
        <w:rPr>
          <w:rFonts w:ascii="Times New Roman" w:eastAsia="方正仿宋_GBK" w:hAnsi="Times New Roman" w:hint="eastAsia"/>
          <w:color w:val="000000"/>
          <w:sz w:val="32"/>
          <w:szCs w:val="32"/>
        </w:rPr>
        <w:t>35</w:t>
      </w:r>
      <w:r>
        <w:rPr>
          <w:rFonts w:ascii="Times New Roman" w:eastAsia="方正仿宋_GBK" w:hAnsi="Times New Roman"/>
          <w:color w:val="000000"/>
          <w:sz w:val="32"/>
          <w:szCs w:val="32"/>
        </w:rPr>
        <w:t>0</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增加</w:t>
      </w:r>
      <w:r>
        <w:rPr>
          <w:rFonts w:ascii="Times New Roman" w:eastAsia="方正仿宋_GBK" w:hAnsi="Times New Roman"/>
          <w:color w:val="000000"/>
          <w:sz w:val="32"/>
          <w:szCs w:val="32"/>
        </w:rPr>
        <w:t>21.00</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增长</w:t>
      </w:r>
      <w:r>
        <w:rPr>
          <w:rFonts w:ascii="Times New Roman" w:eastAsia="方正仿宋_GBK" w:hAnsi="Times New Roman"/>
          <w:color w:val="000000"/>
          <w:sz w:val="32"/>
          <w:szCs w:val="32"/>
        </w:rPr>
        <w:t>6.00</w:t>
      </w: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hint="eastAsia"/>
          <w:sz w:val="32"/>
          <w:szCs w:val="32"/>
        </w:rPr>
        <w:t>．住房保障支出（类）住房改革支出（款）</w:t>
      </w:r>
      <w:r>
        <w:rPr>
          <w:rFonts w:ascii="Times New Roman" w:eastAsia="方正仿宋_GBK" w:hAnsi="Times New Roman" w:hint="eastAsia"/>
          <w:color w:val="000000"/>
          <w:sz w:val="32"/>
          <w:szCs w:val="32"/>
        </w:rPr>
        <w:t>2025</w:t>
      </w:r>
      <w:r>
        <w:rPr>
          <w:rFonts w:ascii="Times New Roman" w:eastAsia="方正仿宋_GBK" w:hAnsi="Times New Roman" w:hint="eastAsia"/>
          <w:color w:val="000000"/>
          <w:sz w:val="32"/>
          <w:szCs w:val="32"/>
        </w:rPr>
        <w:t>年预算</w:t>
      </w:r>
      <w:r>
        <w:rPr>
          <w:rFonts w:ascii="Times New Roman" w:eastAsia="方正仿宋_GBK" w:hAnsi="Times New Roman"/>
          <w:color w:val="000000"/>
          <w:sz w:val="32"/>
          <w:szCs w:val="32"/>
        </w:rPr>
        <w:t>0</w:t>
      </w:r>
      <w:r>
        <w:rPr>
          <w:rFonts w:ascii="Times New Roman" w:eastAsia="方正仿宋_GBK" w:hAnsi="Times New Roman" w:hint="eastAsia"/>
          <w:color w:val="000000"/>
          <w:sz w:val="32"/>
          <w:szCs w:val="32"/>
        </w:rPr>
        <w:t>万元，与</w:t>
      </w:r>
      <w:r>
        <w:rPr>
          <w:rFonts w:ascii="Times New Roman" w:eastAsia="方正仿宋_GBK" w:hAnsi="Times New Roman" w:hint="eastAsia"/>
          <w:color w:val="000000"/>
          <w:sz w:val="32"/>
          <w:szCs w:val="32"/>
        </w:rPr>
        <w:t>2024</w:t>
      </w:r>
      <w:r>
        <w:rPr>
          <w:rFonts w:ascii="Times New Roman" w:eastAsia="方正仿宋_GBK" w:hAnsi="Times New Roman" w:hint="eastAsia"/>
          <w:color w:val="000000"/>
          <w:sz w:val="32"/>
          <w:szCs w:val="32"/>
        </w:rPr>
        <w:t>年</w:t>
      </w:r>
      <w:r>
        <w:rPr>
          <w:rFonts w:ascii="Times New Roman" w:eastAsia="方正仿宋_GBK" w:hAnsi="Times New Roman"/>
          <w:color w:val="000000"/>
          <w:sz w:val="32"/>
          <w:szCs w:val="32"/>
        </w:rPr>
        <w:t>执行数</w:t>
      </w:r>
      <w:r>
        <w:rPr>
          <w:rFonts w:ascii="Times New Roman" w:eastAsia="方正仿宋_GBK" w:hAnsi="Times New Roman"/>
          <w:color w:val="000000"/>
          <w:sz w:val="32"/>
          <w:szCs w:val="32"/>
        </w:rPr>
        <w:t>270.00</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减少</w:t>
      </w:r>
      <w:r>
        <w:rPr>
          <w:rFonts w:ascii="Times New Roman" w:eastAsia="方正仿宋_GBK" w:hAnsi="Times New Roman"/>
          <w:color w:val="000000"/>
          <w:sz w:val="32"/>
          <w:szCs w:val="32"/>
        </w:rPr>
        <w:t>270</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，减少</w:t>
      </w:r>
      <w:r>
        <w:rPr>
          <w:rFonts w:ascii="Times New Roman" w:eastAsia="方正仿宋_GBK" w:hAnsi="Times New Roman"/>
          <w:color w:val="000000"/>
          <w:sz w:val="32"/>
          <w:szCs w:val="32"/>
        </w:rPr>
        <w:t>100%</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其中</w:t>
      </w:r>
      <w:r>
        <w:rPr>
          <w:rFonts w:ascii="Times New Roman" w:eastAsia="方正仿宋_GBK" w:hAnsi="Times New Roman"/>
          <w:sz w:val="32"/>
          <w:szCs w:val="32"/>
        </w:rPr>
        <w:t>主要原因为</w:t>
      </w:r>
      <w:r>
        <w:rPr>
          <w:rFonts w:ascii="Times New Roman" w:eastAsia="方正仿宋_GBK" w:hAnsi="Times New Roman"/>
          <w:sz w:val="32"/>
          <w:szCs w:val="32"/>
        </w:rPr>
        <w:t>2025</w:t>
      </w:r>
      <w:r>
        <w:rPr>
          <w:rFonts w:ascii="Times New Roman" w:eastAsia="方正仿宋_GBK" w:hAnsi="Times New Roman"/>
          <w:sz w:val="32"/>
          <w:szCs w:val="32"/>
        </w:rPr>
        <w:t>年三级单位海关未下拨住房保障类资金至四级预算单位。</w:t>
      </w:r>
    </w:p>
    <w:p w:rsidR="006174B9" w:rsidRDefault="005B2F69">
      <w:pPr>
        <w:spacing w:line="560" w:lineRule="exact"/>
        <w:ind w:firstLineChars="200" w:firstLine="640"/>
        <w:rPr>
          <w:rFonts w:ascii="Times New Roman" w:eastAsia="方正仿宋_GBK" w:hAnsi="Times New Roman"/>
          <w:color w:val="FF0000"/>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）住房公积金（项）</w:t>
      </w:r>
      <w:r>
        <w:rPr>
          <w:rFonts w:ascii="Times New Roman" w:eastAsia="方正仿宋_GBK" w:hAnsi="Times New Roman" w:hint="eastAsia"/>
          <w:sz w:val="32"/>
          <w:szCs w:val="32"/>
        </w:rPr>
        <w:t>2025</w:t>
      </w:r>
      <w:r>
        <w:rPr>
          <w:rFonts w:ascii="Times New Roman" w:eastAsia="方正仿宋_GBK" w:hAnsi="Times New Roman" w:hint="eastAsia"/>
          <w:color w:val="000000"/>
          <w:sz w:val="32"/>
          <w:szCs w:val="32"/>
        </w:rPr>
        <w:t>年预算</w:t>
      </w:r>
      <w:r>
        <w:rPr>
          <w:rFonts w:ascii="Times New Roman" w:eastAsia="方正仿宋_GBK" w:hAnsi="Times New Roman"/>
          <w:color w:val="000000"/>
          <w:sz w:val="32"/>
          <w:szCs w:val="32"/>
        </w:rPr>
        <w:t>0</w:t>
      </w:r>
      <w:r>
        <w:rPr>
          <w:rFonts w:ascii="Times New Roman" w:eastAsia="方正仿宋_GBK" w:hAnsi="Times New Roman" w:hint="eastAsia"/>
          <w:color w:val="000000"/>
          <w:sz w:val="32"/>
          <w:szCs w:val="32"/>
        </w:rPr>
        <w:t>万元，与</w:t>
      </w:r>
      <w:r>
        <w:rPr>
          <w:rFonts w:ascii="Times New Roman" w:eastAsia="方正仿宋_GBK" w:hAnsi="Times New Roman" w:hint="eastAsia"/>
          <w:color w:val="000000"/>
          <w:sz w:val="32"/>
          <w:szCs w:val="32"/>
        </w:rPr>
        <w:t>2024</w:t>
      </w:r>
      <w:r>
        <w:rPr>
          <w:rFonts w:ascii="Times New Roman" w:eastAsia="方正仿宋_GBK" w:hAnsi="Times New Roman" w:hint="eastAsia"/>
          <w:color w:val="000000"/>
          <w:sz w:val="32"/>
          <w:szCs w:val="32"/>
        </w:rPr>
        <w:t>年</w:t>
      </w:r>
      <w:r>
        <w:rPr>
          <w:rFonts w:ascii="Times New Roman" w:eastAsia="方正仿宋_GBK" w:hAnsi="Times New Roman"/>
          <w:color w:val="000000"/>
          <w:sz w:val="32"/>
          <w:szCs w:val="32"/>
        </w:rPr>
        <w:t>执行数</w:t>
      </w:r>
      <w:r>
        <w:rPr>
          <w:rFonts w:ascii="Times New Roman" w:eastAsia="方正仿宋_GBK" w:hAnsi="Times New Roman"/>
          <w:color w:val="000000"/>
          <w:sz w:val="32"/>
          <w:szCs w:val="32"/>
        </w:rPr>
        <w:t>110</w:t>
      </w:r>
      <w:r>
        <w:rPr>
          <w:rFonts w:ascii="Times New Roman" w:eastAsia="方正仿宋_GBK" w:hAnsi="Times New Roman"/>
          <w:color w:val="000000"/>
          <w:sz w:val="32"/>
          <w:szCs w:val="32"/>
        </w:rPr>
        <w:t>万元减少</w:t>
      </w:r>
      <w:r>
        <w:rPr>
          <w:rFonts w:ascii="Times New Roman" w:eastAsia="方正仿宋_GBK" w:hAnsi="Times New Roman"/>
          <w:color w:val="000000"/>
          <w:sz w:val="32"/>
          <w:szCs w:val="32"/>
        </w:rPr>
        <w:t>110</w:t>
      </w:r>
      <w:r>
        <w:rPr>
          <w:rFonts w:ascii="Times New Roman" w:eastAsia="方正仿宋_GBK" w:hAnsi="Times New Roman"/>
          <w:color w:val="000000"/>
          <w:sz w:val="32"/>
          <w:szCs w:val="32"/>
        </w:rPr>
        <w:t>万元，减少</w:t>
      </w:r>
      <w:r>
        <w:rPr>
          <w:rFonts w:ascii="Times New Roman" w:eastAsia="方正仿宋_GBK" w:hAnsi="Times New Roman"/>
          <w:color w:val="000000"/>
          <w:sz w:val="32"/>
          <w:szCs w:val="32"/>
        </w:rPr>
        <w:t>100%</w:t>
      </w:r>
      <w:r>
        <w:rPr>
          <w:rFonts w:ascii="Times New Roman" w:eastAsia="方正仿宋_GBK" w:hAnsi="Times New Roman" w:hint="eastAsia"/>
          <w:color w:val="000000"/>
          <w:sz w:val="32"/>
          <w:szCs w:val="32"/>
        </w:rPr>
        <w:t>。</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）购房补贴（项）</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hint="eastAsia"/>
          <w:color w:val="000000"/>
          <w:sz w:val="32"/>
          <w:szCs w:val="32"/>
        </w:rPr>
        <w:t>预算</w:t>
      </w:r>
      <w:r>
        <w:rPr>
          <w:rFonts w:ascii="Times New Roman" w:eastAsia="方正仿宋_GBK" w:hAnsi="Times New Roman"/>
          <w:color w:val="000000"/>
          <w:sz w:val="32"/>
          <w:szCs w:val="32"/>
        </w:rPr>
        <w:t>0</w:t>
      </w:r>
      <w:r>
        <w:rPr>
          <w:rFonts w:ascii="Times New Roman" w:eastAsia="方正仿宋_GBK" w:hAnsi="Times New Roman" w:hint="eastAsia"/>
          <w:color w:val="000000"/>
          <w:sz w:val="32"/>
          <w:szCs w:val="32"/>
        </w:rPr>
        <w:t>万元，与</w:t>
      </w:r>
      <w:r>
        <w:rPr>
          <w:rFonts w:ascii="Times New Roman" w:eastAsia="方正仿宋_GBK" w:hAnsi="Times New Roman" w:hint="eastAsia"/>
          <w:color w:val="000000"/>
          <w:sz w:val="32"/>
          <w:szCs w:val="32"/>
        </w:rPr>
        <w:t>2024</w:t>
      </w:r>
      <w:r>
        <w:rPr>
          <w:rFonts w:ascii="Times New Roman" w:eastAsia="方正仿宋_GBK" w:hAnsi="Times New Roman" w:hint="eastAsia"/>
          <w:color w:val="000000"/>
          <w:sz w:val="32"/>
          <w:szCs w:val="32"/>
        </w:rPr>
        <w:t>年</w:t>
      </w:r>
      <w:r>
        <w:rPr>
          <w:rFonts w:ascii="Times New Roman" w:eastAsia="方正仿宋_GBK" w:hAnsi="Times New Roman"/>
          <w:color w:val="000000"/>
          <w:sz w:val="32"/>
          <w:szCs w:val="32"/>
        </w:rPr>
        <w:t>执</w:t>
      </w:r>
      <w:r>
        <w:rPr>
          <w:rFonts w:ascii="Times New Roman" w:eastAsia="方正仿宋_GBK" w:hAnsi="Times New Roman"/>
          <w:color w:val="000000"/>
          <w:sz w:val="32"/>
          <w:szCs w:val="32"/>
        </w:rPr>
        <w:lastRenderedPageBreak/>
        <w:t>行数</w:t>
      </w:r>
      <w:r>
        <w:rPr>
          <w:rFonts w:ascii="Times New Roman" w:eastAsia="方正仿宋_GBK" w:hAnsi="Times New Roman"/>
          <w:color w:val="000000"/>
          <w:sz w:val="32"/>
          <w:szCs w:val="32"/>
        </w:rPr>
        <w:t>160</w:t>
      </w:r>
      <w:r>
        <w:rPr>
          <w:rFonts w:ascii="Times New Roman" w:eastAsia="方正仿宋_GBK" w:hAnsi="Times New Roman"/>
          <w:color w:val="000000"/>
          <w:sz w:val="32"/>
          <w:szCs w:val="32"/>
        </w:rPr>
        <w:t>万元减少</w:t>
      </w:r>
      <w:r>
        <w:rPr>
          <w:rFonts w:ascii="Times New Roman" w:eastAsia="方正仿宋_GBK" w:hAnsi="Times New Roman"/>
          <w:color w:val="000000"/>
          <w:sz w:val="32"/>
          <w:szCs w:val="32"/>
        </w:rPr>
        <w:t>160</w:t>
      </w:r>
      <w:r>
        <w:rPr>
          <w:rFonts w:ascii="Times New Roman" w:eastAsia="方正仿宋_GBK" w:hAnsi="Times New Roman"/>
          <w:color w:val="000000"/>
          <w:sz w:val="32"/>
          <w:szCs w:val="32"/>
        </w:rPr>
        <w:t>万元，减少</w:t>
      </w:r>
      <w:r>
        <w:rPr>
          <w:rFonts w:ascii="Times New Roman" w:eastAsia="方正仿宋_GBK" w:hAnsi="Times New Roman"/>
          <w:color w:val="000000"/>
          <w:sz w:val="32"/>
          <w:szCs w:val="32"/>
        </w:rPr>
        <w:t>100%</w:t>
      </w:r>
      <w:r>
        <w:rPr>
          <w:rFonts w:ascii="Times New Roman" w:eastAsia="方正仿宋_GBK" w:hAnsi="Times New Roman" w:hint="eastAsia"/>
          <w:color w:val="000000"/>
          <w:sz w:val="32"/>
          <w:szCs w:val="32"/>
        </w:rPr>
        <w:t>。</w:t>
      </w:r>
    </w:p>
    <w:p w:rsidR="006174B9" w:rsidRDefault="005B2F69">
      <w:pPr>
        <w:pStyle w:val="410"/>
        <w:spacing w:line="560" w:lineRule="exact"/>
        <w:ind w:firstLineChars="200" w:firstLine="640"/>
        <w:rPr>
          <w:rFonts w:eastAsia="方正黑体_GBK"/>
          <w:sz w:val="32"/>
          <w:szCs w:val="32"/>
        </w:rPr>
      </w:pPr>
      <w:r>
        <w:rPr>
          <w:rFonts w:eastAsia="方正黑体_GBK" w:hint="eastAsia"/>
          <w:sz w:val="32"/>
          <w:szCs w:val="32"/>
        </w:rPr>
        <w:t>六、关于昆山海关综合技术服务中心</w:t>
      </w:r>
      <w:r>
        <w:rPr>
          <w:rFonts w:eastAsia="方正黑体_GBK" w:hint="eastAsia"/>
          <w:sz w:val="32"/>
          <w:szCs w:val="32"/>
        </w:rPr>
        <w:t>2025</w:t>
      </w:r>
      <w:r>
        <w:rPr>
          <w:rFonts w:eastAsia="方正黑体_GBK" w:hint="eastAsia"/>
          <w:sz w:val="32"/>
          <w:szCs w:val="32"/>
        </w:rPr>
        <w:t>年一般公共预算基本支出情况说明</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昆山海关综合技术服务中心</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年一般公共预算基本支出</w:t>
      </w:r>
      <w:r>
        <w:rPr>
          <w:rFonts w:ascii="Times New Roman" w:eastAsia="方正仿宋_GBK" w:hAnsi="Times New Roman"/>
          <w:color w:val="000000"/>
          <w:sz w:val="32"/>
          <w:szCs w:val="32"/>
        </w:rPr>
        <w:t>371</w:t>
      </w:r>
      <w:r>
        <w:rPr>
          <w:rFonts w:ascii="Times New Roman" w:eastAsia="方正仿宋_GBK" w:hAnsi="Times New Roman" w:hint="eastAsia"/>
          <w:color w:val="000000"/>
          <w:sz w:val="32"/>
          <w:szCs w:val="32"/>
        </w:rPr>
        <w:t>.00</w:t>
      </w:r>
      <w:r>
        <w:rPr>
          <w:rFonts w:ascii="Times New Roman" w:eastAsia="方正仿宋_GBK" w:hAnsi="Times New Roman" w:hint="eastAsia"/>
          <w:sz w:val="32"/>
          <w:szCs w:val="32"/>
        </w:rPr>
        <w:t>万元，其中：</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color w:val="000000"/>
          <w:sz w:val="32"/>
          <w:szCs w:val="32"/>
        </w:rPr>
        <w:t>253</w:t>
      </w:r>
      <w:r>
        <w:rPr>
          <w:rFonts w:ascii="Times New Roman" w:eastAsia="方正仿宋_GBK" w:hAnsi="Times New Roman" w:hint="eastAsia"/>
          <w:color w:val="000000"/>
          <w:sz w:val="32"/>
          <w:szCs w:val="32"/>
        </w:rPr>
        <w:t>.00</w:t>
      </w:r>
      <w:r>
        <w:rPr>
          <w:rFonts w:ascii="Times New Roman" w:eastAsia="方正仿宋_GBK" w:hAnsi="Times New Roman" w:hint="eastAsia"/>
          <w:color w:val="000000"/>
          <w:sz w:val="32"/>
          <w:szCs w:val="32"/>
        </w:rPr>
        <w:t>万</w:t>
      </w:r>
      <w:r>
        <w:rPr>
          <w:rFonts w:ascii="Times New Roman" w:eastAsia="方正仿宋_GBK" w:hAnsi="Times New Roman" w:hint="eastAsia"/>
          <w:sz w:val="32"/>
          <w:szCs w:val="32"/>
        </w:rPr>
        <w:t>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役）费、抚恤金、生活补助、医疗费补助、助学金、奖励金、代缴社会保险费、其他对个人和家庭的补助；</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Pr>
          <w:rFonts w:ascii="Times New Roman" w:eastAsia="方正仿宋_GBK" w:hAnsi="Times New Roman"/>
          <w:color w:val="000000"/>
          <w:sz w:val="32"/>
          <w:szCs w:val="32"/>
        </w:rPr>
        <w:t>11</w:t>
      </w:r>
      <w:r>
        <w:rPr>
          <w:rFonts w:ascii="Times New Roman" w:eastAsia="方正仿宋_GBK" w:hAnsi="Times New Roman"/>
          <w:color w:val="000000"/>
          <w:sz w:val="32"/>
          <w:szCs w:val="32"/>
        </w:rPr>
        <w:t>8</w:t>
      </w:r>
      <w:r>
        <w:rPr>
          <w:rFonts w:ascii="Times New Roman" w:eastAsia="方正仿宋_GBK" w:hAnsi="Times New Roman" w:hint="eastAsia"/>
          <w:color w:val="000000"/>
          <w:sz w:val="32"/>
          <w:szCs w:val="32"/>
        </w:rPr>
        <w:t>.00</w:t>
      </w:r>
      <w:r>
        <w:rPr>
          <w:rFonts w:ascii="Times New Roman" w:eastAsia="方正仿宋_GBK" w:hAnsi="Times New Roman" w:hint="eastAsia"/>
          <w:sz w:val="32"/>
          <w:szCs w:val="32"/>
        </w:rPr>
        <w:t>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办公设备购置、专用设备购置、大型修缮、信息网络及软件购置更新、无形资产购置、其他资本性支出。</w:t>
      </w:r>
    </w:p>
    <w:p w:rsidR="006174B9" w:rsidRDefault="005B2F69">
      <w:pPr>
        <w:pStyle w:val="410"/>
        <w:spacing w:line="560" w:lineRule="exact"/>
        <w:ind w:firstLineChars="200" w:firstLine="640"/>
        <w:rPr>
          <w:rFonts w:eastAsia="方正黑体_GBK"/>
          <w:sz w:val="32"/>
          <w:szCs w:val="32"/>
        </w:rPr>
      </w:pPr>
      <w:r>
        <w:rPr>
          <w:rFonts w:eastAsia="方正黑体_GBK" w:hint="eastAsia"/>
          <w:sz w:val="32"/>
          <w:szCs w:val="32"/>
        </w:rPr>
        <w:t>七、关于昆山海关综合技术服务中心</w:t>
      </w:r>
      <w:r>
        <w:rPr>
          <w:rFonts w:eastAsia="方正黑体_GBK" w:hint="eastAsia"/>
          <w:sz w:val="32"/>
          <w:szCs w:val="32"/>
        </w:rPr>
        <w:t>2025</w:t>
      </w:r>
      <w:r>
        <w:rPr>
          <w:rFonts w:eastAsia="方正黑体_GBK" w:hint="eastAsia"/>
          <w:sz w:val="32"/>
          <w:szCs w:val="32"/>
        </w:rPr>
        <w:t>年“三公”经费预算情况说明</w:t>
      </w:r>
    </w:p>
    <w:p w:rsidR="006174B9" w:rsidRDefault="005B2F69">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昆山海关综合技术服务中心无</w:t>
      </w:r>
      <w:r>
        <w:rPr>
          <w:rFonts w:ascii="Times New Roman" w:eastAsia="方正仿宋_GBK" w:hAnsi="Times New Roman" w:hint="eastAsia"/>
          <w:sz w:val="32"/>
          <w:szCs w:val="32"/>
        </w:rPr>
        <w:t>202</w:t>
      </w:r>
      <w:r>
        <w:rPr>
          <w:rFonts w:ascii="Times New Roman" w:eastAsia="方正仿宋_GBK" w:hAnsi="Times New Roman" w:hint="eastAsia"/>
          <w:sz w:val="32"/>
          <w:szCs w:val="32"/>
        </w:rPr>
        <w:t>5</w:t>
      </w:r>
      <w:r>
        <w:rPr>
          <w:rFonts w:ascii="Times New Roman" w:eastAsia="方正仿宋_GBK" w:hAnsi="Times New Roman" w:hint="eastAsia"/>
          <w:sz w:val="32"/>
          <w:szCs w:val="32"/>
        </w:rPr>
        <w:t>年“三公”经费预算</w:t>
      </w:r>
      <w:r>
        <w:rPr>
          <w:rFonts w:ascii="Times New Roman" w:eastAsia="方正仿宋_GBK" w:hAnsi="Times New Roman"/>
          <w:sz w:val="32"/>
          <w:szCs w:val="32"/>
        </w:rPr>
        <w:t>。</w:t>
      </w:r>
    </w:p>
    <w:p w:rsidR="006174B9" w:rsidRDefault="005B2F69">
      <w:pPr>
        <w:pStyle w:val="410"/>
        <w:spacing w:line="560" w:lineRule="exact"/>
        <w:ind w:firstLineChars="200" w:firstLine="640"/>
        <w:rPr>
          <w:rFonts w:eastAsia="方正黑体_GBK"/>
          <w:sz w:val="32"/>
          <w:szCs w:val="32"/>
        </w:rPr>
      </w:pPr>
      <w:r>
        <w:rPr>
          <w:rFonts w:eastAsia="方正黑体_GBK" w:hint="eastAsia"/>
          <w:sz w:val="32"/>
          <w:szCs w:val="32"/>
        </w:rPr>
        <w:lastRenderedPageBreak/>
        <w:t>八、关于昆山海关综合技术服务中心</w:t>
      </w:r>
      <w:r>
        <w:rPr>
          <w:rFonts w:eastAsia="方正黑体_GBK" w:hint="eastAsia"/>
          <w:sz w:val="32"/>
          <w:szCs w:val="32"/>
        </w:rPr>
        <w:t>2025</w:t>
      </w:r>
      <w:r>
        <w:rPr>
          <w:rFonts w:eastAsia="方正黑体_GBK" w:hint="eastAsia"/>
          <w:sz w:val="32"/>
          <w:szCs w:val="32"/>
        </w:rPr>
        <w:t>年政府性基金预算收支情况说明</w:t>
      </w:r>
    </w:p>
    <w:p w:rsidR="006174B9" w:rsidRDefault="005B2F69">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昆山海关综合技术服务中心</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年无政府性基金预算收支。</w:t>
      </w:r>
    </w:p>
    <w:p w:rsidR="006174B9" w:rsidRDefault="005B2F69">
      <w:pPr>
        <w:pStyle w:val="410"/>
        <w:spacing w:line="560" w:lineRule="exact"/>
        <w:ind w:firstLineChars="200" w:firstLine="640"/>
        <w:rPr>
          <w:rFonts w:eastAsia="方正黑体_GBK"/>
          <w:sz w:val="32"/>
          <w:szCs w:val="32"/>
        </w:rPr>
      </w:pPr>
      <w:r>
        <w:rPr>
          <w:rFonts w:eastAsia="方正黑体_GBK" w:hint="eastAsia"/>
          <w:sz w:val="32"/>
          <w:szCs w:val="32"/>
        </w:rPr>
        <w:t>九、关于昆山海关综合技术服务中心</w:t>
      </w:r>
      <w:r>
        <w:rPr>
          <w:rFonts w:eastAsia="方正黑体_GBK" w:hint="eastAsia"/>
          <w:sz w:val="32"/>
          <w:szCs w:val="32"/>
        </w:rPr>
        <w:t>2025</w:t>
      </w:r>
      <w:r>
        <w:rPr>
          <w:rFonts w:eastAsia="方正黑体_GBK" w:hint="eastAsia"/>
          <w:sz w:val="32"/>
          <w:szCs w:val="32"/>
        </w:rPr>
        <w:t>年国有资本经营预算收支情况说明</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昆山海关综合技术服务中心</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年无国有资本经营预算收支。</w:t>
      </w:r>
    </w:p>
    <w:p w:rsidR="006174B9" w:rsidRDefault="005B2F69">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6174B9" w:rsidRDefault="005B2F69">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2025</w:t>
      </w:r>
      <w:r>
        <w:rPr>
          <w:rFonts w:ascii="Times New Roman" w:eastAsia="方正仿宋_GBK" w:hAnsi="Times New Roman" w:hint="eastAsia"/>
          <w:sz w:val="32"/>
          <w:szCs w:val="32"/>
        </w:rPr>
        <w:t>年昆山海关综合技术服务中心的机关运行经费财政拨款预算</w:t>
      </w:r>
      <w:r>
        <w:rPr>
          <w:rFonts w:ascii="Times New Roman" w:eastAsia="方正仿宋_GBK" w:hAnsi="Times New Roman" w:hint="eastAsia"/>
          <w:sz w:val="32"/>
          <w:szCs w:val="32"/>
        </w:rPr>
        <w:t>118</w:t>
      </w:r>
      <w:r>
        <w:rPr>
          <w:rFonts w:ascii="Times New Roman" w:eastAsia="方正仿宋_GBK" w:hAnsi="Times New Roman" w:hint="eastAsia"/>
          <w:sz w:val="32"/>
          <w:szCs w:val="32"/>
        </w:rPr>
        <w:t>万元，较</w:t>
      </w:r>
      <w:r>
        <w:rPr>
          <w:rFonts w:ascii="Times New Roman" w:eastAsia="方正仿宋_GBK" w:hAnsi="Times New Roman" w:hint="eastAsia"/>
          <w:sz w:val="32"/>
          <w:szCs w:val="32"/>
        </w:rPr>
        <w:t>2024</w:t>
      </w:r>
      <w:r>
        <w:rPr>
          <w:rFonts w:ascii="Times New Roman" w:eastAsia="方正仿宋_GBK" w:hAnsi="Times New Roman" w:hint="eastAsia"/>
          <w:sz w:val="32"/>
          <w:szCs w:val="32"/>
        </w:rPr>
        <w:t>年预算增加</w:t>
      </w:r>
      <w:r>
        <w:rPr>
          <w:rFonts w:ascii="Times New Roman" w:eastAsia="方正仿宋_GBK" w:hAnsi="Times New Roman" w:hint="eastAsia"/>
          <w:sz w:val="32"/>
          <w:szCs w:val="32"/>
        </w:rPr>
        <w:t>3.00</w:t>
      </w:r>
      <w:r>
        <w:rPr>
          <w:rFonts w:ascii="Times New Roman" w:eastAsia="方正仿宋_GBK" w:hAnsi="Times New Roman" w:hint="eastAsia"/>
          <w:sz w:val="32"/>
          <w:szCs w:val="32"/>
        </w:rPr>
        <w:t>万元，增长</w:t>
      </w:r>
      <w:r>
        <w:rPr>
          <w:rFonts w:ascii="Times New Roman" w:eastAsia="方正仿宋_GBK" w:hAnsi="Times New Roman" w:hint="eastAsia"/>
          <w:sz w:val="32"/>
          <w:szCs w:val="32"/>
        </w:rPr>
        <w:t>2.61%</w:t>
      </w:r>
      <w:r>
        <w:rPr>
          <w:rFonts w:ascii="Times New Roman" w:eastAsia="方正仿宋_GBK" w:hAnsi="Times New Roman" w:hint="eastAsia"/>
          <w:sz w:val="32"/>
          <w:szCs w:val="32"/>
        </w:rPr>
        <w:t>。</w:t>
      </w:r>
    </w:p>
    <w:p w:rsidR="006174B9" w:rsidRDefault="005B2F69">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2025</w:t>
      </w:r>
      <w:r>
        <w:rPr>
          <w:rFonts w:ascii="Times New Roman" w:eastAsia="方正仿宋_GBK" w:hAnsi="Times New Roman" w:hint="eastAsia"/>
          <w:sz w:val="32"/>
          <w:szCs w:val="32"/>
        </w:rPr>
        <w:t>年海关系统各单位政府采购预算总额</w:t>
      </w:r>
      <w:r>
        <w:rPr>
          <w:rFonts w:ascii="Times New Roman" w:eastAsia="方正仿宋_GBK" w:hAnsi="Times New Roman" w:hint="eastAsia"/>
          <w:sz w:val="32"/>
          <w:szCs w:val="32"/>
        </w:rPr>
        <w:t>420.40</w:t>
      </w:r>
      <w:r>
        <w:rPr>
          <w:rFonts w:ascii="Times New Roman" w:eastAsia="方正仿宋_GBK" w:hAnsi="Times New Roman" w:hint="eastAsia"/>
          <w:sz w:val="32"/>
          <w:szCs w:val="32"/>
        </w:rPr>
        <w:t>万元，其中：政府采购货物预算</w:t>
      </w:r>
      <w:r>
        <w:rPr>
          <w:rFonts w:ascii="Times New Roman" w:eastAsia="方正仿宋_GBK" w:hAnsi="Times New Roman" w:hint="eastAsia"/>
          <w:sz w:val="32"/>
          <w:szCs w:val="32"/>
        </w:rPr>
        <w:t>0.4</w:t>
      </w:r>
      <w:r>
        <w:rPr>
          <w:rFonts w:ascii="Times New Roman" w:eastAsia="方正仿宋_GBK" w:hAnsi="Times New Roman" w:hint="eastAsia"/>
          <w:sz w:val="32"/>
          <w:szCs w:val="32"/>
        </w:rPr>
        <w:t>万元、政府采购工程预算</w:t>
      </w:r>
      <w:r>
        <w:rPr>
          <w:rFonts w:ascii="Times New Roman" w:eastAsia="方正仿宋_GBK" w:hAnsi="Times New Roman" w:hint="eastAsia"/>
          <w:sz w:val="32"/>
          <w:szCs w:val="32"/>
        </w:rPr>
        <w:t>0</w:t>
      </w:r>
      <w:r>
        <w:rPr>
          <w:rFonts w:ascii="Times New Roman" w:eastAsia="方正仿宋_GBK" w:hAnsi="Times New Roman" w:hint="eastAsia"/>
          <w:sz w:val="32"/>
          <w:szCs w:val="32"/>
        </w:rPr>
        <w:t>万元、政府采购服务预算</w:t>
      </w:r>
      <w:r>
        <w:rPr>
          <w:rFonts w:ascii="Times New Roman" w:eastAsia="方正仿宋_GBK" w:hAnsi="Times New Roman" w:hint="eastAsia"/>
          <w:sz w:val="32"/>
          <w:szCs w:val="32"/>
        </w:rPr>
        <w:t>420.00</w:t>
      </w:r>
      <w:r>
        <w:rPr>
          <w:rFonts w:ascii="Times New Roman" w:eastAsia="方正仿宋_GBK" w:hAnsi="Times New Roman" w:hint="eastAsia"/>
          <w:sz w:val="32"/>
          <w:szCs w:val="32"/>
        </w:rPr>
        <w:t>万元。</w:t>
      </w:r>
    </w:p>
    <w:p w:rsidR="006174B9" w:rsidRDefault="005B2F69">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截至</w:t>
      </w:r>
      <w:r>
        <w:rPr>
          <w:rFonts w:ascii="Times New Roman" w:eastAsia="方正仿宋_GBK" w:hAnsi="Times New Roman" w:hint="eastAsia"/>
          <w:sz w:val="32"/>
          <w:szCs w:val="32"/>
        </w:rPr>
        <w:t>2024</w:t>
      </w:r>
      <w:r>
        <w:rPr>
          <w:rFonts w:ascii="Times New Roman" w:eastAsia="方正仿宋_GBK" w:hAnsi="Times New Roman" w:hint="eastAsia"/>
          <w:sz w:val="32"/>
          <w:szCs w:val="32"/>
        </w:rPr>
        <w:t>年</w:t>
      </w:r>
      <w:r>
        <w:rPr>
          <w:rFonts w:ascii="Times New Roman" w:eastAsia="方正仿宋_GBK" w:hAnsi="Times New Roman" w:hint="eastAsia"/>
          <w:sz w:val="32"/>
          <w:szCs w:val="32"/>
        </w:rPr>
        <w:t>7</w:t>
      </w:r>
      <w:r>
        <w:rPr>
          <w:rFonts w:ascii="Times New Roman" w:eastAsia="方正仿宋_GBK" w:hAnsi="Times New Roman" w:hint="eastAsia"/>
          <w:sz w:val="32"/>
          <w:szCs w:val="32"/>
        </w:rPr>
        <w:t>月</w:t>
      </w:r>
      <w:r>
        <w:rPr>
          <w:rFonts w:ascii="Times New Roman" w:eastAsia="方正仿宋_GBK" w:hAnsi="Times New Roman" w:hint="eastAsia"/>
          <w:sz w:val="32"/>
          <w:szCs w:val="32"/>
        </w:rPr>
        <w:t>31</w:t>
      </w:r>
      <w:r>
        <w:rPr>
          <w:rFonts w:ascii="Times New Roman" w:eastAsia="方正仿宋_GBK" w:hAnsi="Times New Roman" w:hint="eastAsia"/>
          <w:sz w:val="32"/>
          <w:szCs w:val="32"/>
        </w:rPr>
        <w:t>日，昆山海关综合技术服务中心共有车辆</w:t>
      </w:r>
      <w:r>
        <w:rPr>
          <w:rFonts w:ascii="Times New Roman" w:eastAsia="方正仿宋_GBK" w:hAnsi="Times New Roman" w:hint="eastAsia"/>
          <w:sz w:val="32"/>
          <w:szCs w:val="32"/>
        </w:rPr>
        <w:t>6</w:t>
      </w:r>
      <w:r>
        <w:rPr>
          <w:rFonts w:ascii="Times New Roman" w:eastAsia="方正仿宋_GBK" w:hAnsi="Times New Roman" w:hint="eastAsia"/>
          <w:sz w:val="32"/>
          <w:szCs w:val="32"/>
        </w:rPr>
        <w:t>辆，其中，其他用车</w:t>
      </w:r>
      <w:r>
        <w:rPr>
          <w:rFonts w:ascii="Times New Roman" w:eastAsia="方正仿宋_GBK" w:hAnsi="Times New Roman" w:hint="eastAsia"/>
          <w:sz w:val="32"/>
          <w:szCs w:val="32"/>
        </w:rPr>
        <w:t>6</w:t>
      </w:r>
      <w:r>
        <w:rPr>
          <w:rFonts w:ascii="Times New Roman" w:eastAsia="方正仿宋_GBK" w:hAnsi="Times New Roman" w:hint="eastAsia"/>
          <w:sz w:val="32"/>
          <w:szCs w:val="32"/>
        </w:rPr>
        <w:t>辆，其他用车主要是事业单位载客载货车辆。单位价值</w:t>
      </w:r>
      <w:r>
        <w:rPr>
          <w:rFonts w:ascii="Times New Roman" w:eastAsia="方正仿宋_GBK" w:hAnsi="Times New Roman" w:hint="eastAsia"/>
          <w:sz w:val="32"/>
          <w:szCs w:val="32"/>
        </w:rPr>
        <w:t>100</w:t>
      </w:r>
      <w:r>
        <w:rPr>
          <w:rFonts w:ascii="Times New Roman" w:eastAsia="方正仿宋_GBK" w:hAnsi="Times New Roman" w:hint="eastAsia"/>
          <w:sz w:val="32"/>
          <w:szCs w:val="32"/>
        </w:rPr>
        <w:t>万元以上设备</w:t>
      </w:r>
      <w:r>
        <w:rPr>
          <w:rFonts w:ascii="Times New Roman" w:eastAsia="方正仿宋_GBK" w:hAnsi="Times New Roman" w:hint="eastAsia"/>
          <w:sz w:val="32"/>
          <w:szCs w:val="32"/>
        </w:rPr>
        <w:t>2</w:t>
      </w:r>
      <w:r>
        <w:rPr>
          <w:rFonts w:ascii="Times New Roman" w:eastAsia="方正仿宋_GBK" w:hAnsi="Times New Roman" w:hint="eastAsia"/>
          <w:sz w:val="32"/>
          <w:szCs w:val="32"/>
        </w:rPr>
        <w:t>台（套）。</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2025</w:t>
      </w:r>
      <w:r>
        <w:rPr>
          <w:rFonts w:ascii="Times New Roman" w:eastAsia="方正仿宋_GBK" w:hAnsi="Times New Roman" w:hint="eastAsia"/>
          <w:sz w:val="32"/>
          <w:szCs w:val="32"/>
        </w:rPr>
        <w:t>年部门预算安排购置车辆</w:t>
      </w:r>
      <w:r>
        <w:rPr>
          <w:rFonts w:ascii="Times New Roman" w:eastAsia="方正仿宋_GBK" w:hAnsi="Times New Roman" w:hint="eastAsia"/>
          <w:sz w:val="32"/>
          <w:szCs w:val="32"/>
        </w:rPr>
        <w:t>0</w:t>
      </w:r>
      <w:r>
        <w:rPr>
          <w:rFonts w:ascii="Times New Roman" w:eastAsia="方正仿宋_GBK" w:hAnsi="Times New Roman" w:hint="eastAsia"/>
          <w:sz w:val="32"/>
          <w:szCs w:val="32"/>
        </w:rPr>
        <w:t>辆。</w:t>
      </w:r>
    </w:p>
    <w:p w:rsidR="006174B9" w:rsidRDefault="005B2F69">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rsidR="006174B9" w:rsidRDefault="005B2F6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2025</w:t>
      </w:r>
      <w:r>
        <w:rPr>
          <w:rFonts w:ascii="Times New Roman" w:eastAsia="方正仿宋_GBK" w:hAnsi="Times New Roman" w:hint="eastAsia"/>
          <w:sz w:val="32"/>
          <w:szCs w:val="32"/>
        </w:rPr>
        <w:t>年对昆山海关综合技术服务中心一般公共预算拨</w:t>
      </w:r>
      <w:r>
        <w:rPr>
          <w:rFonts w:ascii="Times New Roman" w:eastAsia="方正仿宋_GBK" w:hAnsi="Times New Roman" w:hint="eastAsia"/>
          <w:sz w:val="32"/>
          <w:szCs w:val="32"/>
        </w:rPr>
        <w:lastRenderedPageBreak/>
        <w:t>款项目全面实施绩效目标管理，涉及的一般公共预算当年拨</w:t>
      </w:r>
      <w:r>
        <w:rPr>
          <w:rFonts w:ascii="Times New Roman" w:eastAsia="方正仿宋_GBK" w:hAnsi="Times New Roman" w:hint="eastAsia"/>
          <w:color w:val="000000"/>
          <w:sz w:val="32"/>
          <w:szCs w:val="32"/>
        </w:rPr>
        <w:t>款</w:t>
      </w:r>
      <w:r>
        <w:rPr>
          <w:rFonts w:ascii="Times New Roman" w:eastAsia="方正仿宋_GBK" w:hAnsi="Times New Roman" w:hint="eastAsia"/>
          <w:sz w:val="32"/>
          <w:szCs w:val="32"/>
        </w:rPr>
        <w:t>3</w:t>
      </w:r>
      <w:r>
        <w:rPr>
          <w:rFonts w:ascii="Times New Roman" w:eastAsia="方正仿宋_GBK" w:hAnsi="Times New Roman" w:hint="eastAsia"/>
          <w:sz w:val="32"/>
          <w:szCs w:val="32"/>
        </w:rPr>
        <w:t>万元，一级项目</w:t>
      </w:r>
      <w:r>
        <w:rPr>
          <w:rFonts w:ascii="Times New Roman" w:eastAsia="方正仿宋_GBK" w:hAnsi="Times New Roman" w:hint="eastAsia"/>
          <w:sz w:val="32"/>
          <w:szCs w:val="32"/>
        </w:rPr>
        <w:t>0</w:t>
      </w:r>
      <w:r>
        <w:rPr>
          <w:rFonts w:ascii="Times New Roman" w:eastAsia="方正仿宋_GBK" w:hAnsi="Times New Roman" w:hint="eastAsia"/>
          <w:sz w:val="32"/>
          <w:szCs w:val="32"/>
        </w:rPr>
        <w:t>个，二级项目</w:t>
      </w:r>
      <w:r>
        <w:rPr>
          <w:rFonts w:ascii="Times New Roman" w:eastAsia="方正仿宋_GBK" w:hAnsi="Times New Roman" w:hint="eastAsia"/>
          <w:sz w:val="32"/>
          <w:szCs w:val="32"/>
        </w:rPr>
        <w:t>1</w:t>
      </w:r>
      <w:r>
        <w:rPr>
          <w:rFonts w:ascii="Times New Roman" w:eastAsia="方正仿宋_GBK" w:hAnsi="Times New Roman" w:hint="eastAsia"/>
          <w:sz w:val="32"/>
          <w:szCs w:val="32"/>
        </w:rPr>
        <w:t>个</w:t>
      </w:r>
      <w:r>
        <w:rPr>
          <w:rFonts w:ascii="Times New Roman" w:eastAsia="方正仿宋_GBK" w:hAnsi="Times New Roman" w:hint="eastAsia"/>
          <w:color w:val="000000"/>
          <w:sz w:val="32"/>
          <w:szCs w:val="32"/>
        </w:rPr>
        <w:t>。根</w:t>
      </w:r>
      <w:r>
        <w:rPr>
          <w:rFonts w:ascii="Times New Roman" w:eastAsia="方正仿宋_GBK" w:hAnsi="Times New Roman" w:hint="eastAsia"/>
          <w:sz w:val="32"/>
          <w:szCs w:val="32"/>
        </w:rPr>
        <w:t>据以前年度绩效评价结果，优化海关仪器设备购置及能力保障专项支出</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年预算安排，并进一步改进管理、完善政策。</w:t>
      </w:r>
    </w:p>
    <w:p w:rsidR="006174B9" w:rsidRDefault="006174B9">
      <w:pPr>
        <w:spacing w:line="560" w:lineRule="exact"/>
        <w:ind w:firstLineChars="200" w:firstLine="640"/>
        <w:rPr>
          <w:rFonts w:ascii="Times New Roman" w:eastAsia="方正仿宋_GBK" w:hAnsi="Times New Roman"/>
          <w:sz w:val="32"/>
          <w:szCs w:val="32"/>
        </w:rPr>
      </w:pPr>
    </w:p>
    <w:p w:rsidR="006174B9" w:rsidRDefault="006174B9">
      <w:pPr>
        <w:spacing w:line="560" w:lineRule="exact"/>
        <w:ind w:firstLineChars="200" w:firstLine="640"/>
        <w:rPr>
          <w:rFonts w:ascii="Times New Roman" w:eastAsia="方正仿宋_GBK" w:hAnsi="Times New Roman"/>
          <w:sz w:val="32"/>
          <w:szCs w:val="32"/>
        </w:rPr>
        <w:sectPr w:rsidR="006174B9">
          <w:pgSz w:w="11906" w:h="16838"/>
          <w:pgMar w:top="1440" w:right="1800" w:bottom="1440" w:left="1800" w:header="851" w:footer="992" w:gutter="0"/>
          <w:cols w:space="720"/>
          <w:docGrid w:type="lines" w:linePitch="312"/>
        </w:sectPr>
      </w:pPr>
    </w:p>
    <w:p w:rsidR="006174B9" w:rsidRDefault="006174B9">
      <w:pPr>
        <w:jc w:val="center"/>
        <w:rPr>
          <w:rFonts w:ascii="Times New Roman" w:eastAsia="方正仿宋_GBK" w:hAnsi="Times New Roman"/>
          <w:sz w:val="32"/>
          <w:szCs w:val="32"/>
        </w:rPr>
      </w:pPr>
    </w:p>
    <w:p w:rsidR="006174B9" w:rsidRDefault="006174B9">
      <w:pPr>
        <w:jc w:val="center"/>
        <w:rPr>
          <w:rFonts w:ascii="Times New Roman" w:hAnsi="Times New Roman"/>
          <w:b/>
          <w:sz w:val="32"/>
          <w:szCs w:val="32"/>
        </w:rPr>
      </w:pPr>
    </w:p>
    <w:p w:rsidR="006174B9" w:rsidRDefault="005B2F69">
      <w:pPr>
        <w:jc w:val="center"/>
        <w:rPr>
          <w:rFonts w:ascii="Times New Roman" w:hAnsi="Times New Roman"/>
          <w:b/>
          <w:sz w:val="32"/>
          <w:szCs w:val="32"/>
        </w:rPr>
      </w:pPr>
      <w:r>
        <w:rPr>
          <w:rFonts w:ascii="Times New Roman" w:hAnsi="Times New Roman" w:hint="eastAsia"/>
          <w:b/>
          <w:sz w:val="32"/>
          <w:szCs w:val="32"/>
        </w:rPr>
        <w:t xml:space="preserve"> </w:t>
      </w:r>
    </w:p>
    <w:p w:rsidR="006174B9" w:rsidRDefault="006174B9">
      <w:pPr>
        <w:jc w:val="center"/>
        <w:rPr>
          <w:rFonts w:ascii="Times New Roman" w:hAnsi="Times New Roman"/>
          <w:b/>
          <w:sz w:val="32"/>
          <w:szCs w:val="32"/>
        </w:rPr>
      </w:pPr>
    </w:p>
    <w:p w:rsidR="006174B9" w:rsidRDefault="006174B9">
      <w:pPr>
        <w:jc w:val="center"/>
        <w:rPr>
          <w:rFonts w:ascii="Times New Roman" w:hAnsi="Times New Roman"/>
          <w:b/>
          <w:sz w:val="32"/>
          <w:szCs w:val="32"/>
        </w:rPr>
      </w:pPr>
    </w:p>
    <w:p w:rsidR="006174B9" w:rsidRDefault="006174B9">
      <w:pPr>
        <w:jc w:val="center"/>
        <w:rPr>
          <w:rFonts w:ascii="Times New Roman" w:hAnsi="Times New Roman"/>
          <w:b/>
          <w:sz w:val="32"/>
          <w:szCs w:val="32"/>
        </w:rPr>
      </w:pPr>
    </w:p>
    <w:p w:rsidR="006174B9" w:rsidRDefault="006174B9">
      <w:pPr>
        <w:jc w:val="center"/>
        <w:rPr>
          <w:rFonts w:ascii="Times New Roman" w:hAnsi="Times New Roman"/>
          <w:b/>
          <w:sz w:val="32"/>
          <w:szCs w:val="32"/>
        </w:rPr>
      </w:pPr>
    </w:p>
    <w:p w:rsidR="006174B9" w:rsidRDefault="006174B9">
      <w:pPr>
        <w:jc w:val="center"/>
        <w:rPr>
          <w:rFonts w:ascii="Times New Roman" w:hAnsi="Times New Roman"/>
          <w:b/>
          <w:sz w:val="32"/>
          <w:szCs w:val="32"/>
        </w:rPr>
      </w:pPr>
    </w:p>
    <w:p w:rsidR="006174B9" w:rsidRDefault="005B2F69">
      <w:pPr>
        <w:jc w:val="center"/>
        <w:rPr>
          <w:rFonts w:ascii="Times New Roman" w:hAnsi="Times New Roman"/>
          <w:b/>
          <w:sz w:val="32"/>
          <w:szCs w:val="32"/>
        </w:rPr>
      </w:pPr>
      <w:r>
        <w:rPr>
          <w:rFonts w:ascii="Times New Roman" w:hAnsi="Times New Roman" w:hint="eastAsia"/>
          <w:b/>
          <w:sz w:val="32"/>
          <w:szCs w:val="32"/>
        </w:rPr>
        <w:t xml:space="preserve"> </w:t>
      </w:r>
    </w:p>
    <w:p w:rsidR="006174B9" w:rsidRDefault="005B2F69">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rsidR="006174B9" w:rsidRDefault="005B2F69">
      <w:pPr>
        <w:jc w:val="center"/>
        <w:rPr>
          <w:rFonts w:ascii="Times New Roman" w:hAnsi="Times New Roman"/>
          <w:b/>
          <w:sz w:val="84"/>
          <w:szCs w:val="84"/>
        </w:rPr>
      </w:pPr>
      <w:r>
        <w:rPr>
          <w:rFonts w:ascii="Times New Roman" w:hAnsi="Times New Roman" w:hint="eastAsia"/>
          <w:b/>
          <w:sz w:val="84"/>
          <w:szCs w:val="84"/>
        </w:rPr>
        <w:t>名词解释</w:t>
      </w:r>
    </w:p>
    <w:p w:rsidR="006174B9" w:rsidRDefault="006174B9">
      <w:pPr>
        <w:rPr>
          <w:rFonts w:ascii="Times New Roman" w:hAnsi="Times New Roman"/>
          <w:b/>
          <w:sz w:val="84"/>
          <w:szCs w:val="84"/>
        </w:rPr>
        <w:sectPr w:rsidR="006174B9">
          <w:pgSz w:w="11906" w:h="16838"/>
          <w:pgMar w:top="1440" w:right="1800" w:bottom="1440" w:left="1800" w:header="851" w:footer="992" w:gutter="0"/>
          <w:cols w:space="720"/>
          <w:docGrid w:type="lines" w:linePitch="312"/>
        </w:sectPr>
      </w:pP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lastRenderedPageBreak/>
        <w:t>一、一般公共预算拨款收入</w:t>
      </w:r>
      <w:r>
        <w:rPr>
          <w:rFonts w:ascii="Times New Roman" w:eastAsia="方正仿宋_GBK" w:hAnsi="Times New Roman" w:hint="eastAsia"/>
          <w:sz w:val="32"/>
          <w:szCs w:val="32"/>
        </w:rPr>
        <w:t>：指中央财政当年拨付的资金。</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w:t>
      </w:r>
      <w:r>
        <w:rPr>
          <w:rFonts w:ascii="Times New Roman" w:eastAsia="方正仿宋_GBK" w:hAnsi="Times New Roman" w:hint="eastAsia"/>
          <w:sz w:val="32"/>
          <w:szCs w:val="32"/>
        </w:rPr>
        <w:t>行政单位（包括实行公务员管理的事业单位）未单独设置项级科目的其他项目支出。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w:t>
      </w:r>
      <w:r>
        <w:rPr>
          <w:rFonts w:ascii="Times New Roman" w:eastAsia="方正仿宋_GBK" w:hAnsi="Times New Roman" w:hint="eastAsia"/>
          <w:sz w:val="32"/>
          <w:szCs w:val="32"/>
        </w:rPr>
        <w:lastRenderedPageBreak/>
        <w:t>务中心、医务室等附属事业单位的支出。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w:t>
      </w:r>
      <w:r>
        <w:rPr>
          <w:rFonts w:ascii="Times New Roman" w:eastAsia="方正仿宋_GBK" w:hAnsi="Times New Roman" w:hint="eastAsia"/>
          <w:sz w:val="32"/>
          <w:szCs w:val="32"/>
        </w:rPr>
        <w:t>维等方面的支出。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b/>
          <w:bCs/>
          <w:sz w:val="32"/>
          <w:szCs w:val="32"/>
        </w:rPr>
        <w:t>）</w:t>
      </w:r>
      <w:r>
        <w:rPr>
          <w:rFonts w:ascii="Times New Roman" w:eastAsia="方正仿宋_GBK" w:hAnsi="Times New Roman" w:hint="eastAsia"/>
          <w:sz w:val="32"/>
          <w:szCs w:val="32"/>
        </w:rPr>
        <w:t>：指中央纪委国家监委驻海关总署开展工作的专项业务支出。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w:t>
      </w:r>
      <w:r>
        <w:rPr>
          <w:rFonts w:ascii="Times New Roman" w:eastAsia="方正仿宋_GBK" w:hAnsi="Times New Roman" w:hint="eastAsia"/>
          <w:sz w:val="32"/>
          <w:szCs w:val="32"/>
        </w:rPr>
        <w:lastRenderedPageBreak/>
        <w:t>指对外国政府（地区）提供的各种援助和技术合作支出。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w:t>
      </w:r>
      <w:r>
        <w:rPr>
          <w:rFonts w:ascii="Times New Roman" w:eastAsia="方正仿宋_GBK" w:hAnsi="Times New Roman" w:hint="eastAsia"/>
          <w:b/>
          <w:bCs/>
          <w:sz w:val="32"/>
          <w:szCs w:val="32"/>
        </w:rPr>
        <w:t>外合作与交流（款）对外合作活动（项）</w:t>
      </w:r>
      <w:r>
        <w:rPr>
          <w:rFonts w:ascii="Times New Roman" w:eastAsia="方正仿宋_GBK" w:hAnsi="Times New Roman" w:hint="eastAsia"/>
          <w:sz w:val="32"/>
          <w:szCs w:val="32"/>
        </w:rPr>
        <w:t>：反映海关用于外交目的的对外合作方面支出。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lastRenderedPageBreak/>
        <w:t>（三）离退休人员管理机构（项）</w:t>
      </w:r>
      <w:r>
        <w:rPr>
          <w:rFonts w:ascii="Times New Roman" w:eastAsia="方正仿宋_GBK" w:hAnsi="Times New Roman" w:hint="eastAsia"/>
          <w:sz w:val="32"/>
          <w:szCs w:val="32"/>
        </w:rPr>
        <w:t>：反映海关系统为离退休人员提供管理服务的离退休管理机构的支出。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ascii="Times New Roman" w:eastAsia="方正仿宋_GBK" w:hAnsi="Times New Roman" w:hint="eastAsia"/>
          <w:sz w:val="32"/>
          <w:szCs w:val="32"/>
        </w:rPr>
        <w:t>5</w:t>
      </w:r>
      <w:r>
        <w:rPr>
          <w:rFonts w:ascii="Times New Roman" w:eastAsia="方正仿宋_GBK" w:hAnsi="Times New Roman" w:hint="eastAsia"/>
          <w:sz w:val="32"/>
          <w:szCs w:val="32"/>
        </w:rPr>
        <w:t>％，最高不超过</w:t>
      </w:r>
      <w:r>
        <w:rPr>
          <w:rFonts w:ascii="Times New Roman" w:eastAsia="方正仿宋_GBK" w:hAnsi="Times New Roman" w:hint="eastAsia"/>
          <w:sz w:val="32"/>
          <w:szCs w:val="32"/>
        </w:rPr>
        <w:t>12</w:t>
      </w:r>
      <w:r>
        <w:rPr>
          <w:rFonts w:ascii="Times New Roman" w:eastAsia="方正仿宋_GBK" w:hAnsi="Times New Roman" w:hint="eastAsia"/>
          <w:sz w:val="32"/>
          <w:szCs w:val="32"/>
        </w:rPr>
        <w:t>％，缴存基数为职工本人上年工资，目前已实施近</w:t>
      </w:r>
      <w:r>
        <w:rPr>
          <w:rFonts w:ascii="Times New Roman" w:eastAsia="方正仿宋_GBK" w:hAnsi="Times New Roman" w:hint="eastAsia"/>
          <w:sz w:val="32"/>
          <w:szCs w:val="32"/>
        </w:rPr>
        <w:t>20</w:t>
      </w:r>
      <w:r>
        <w:rPr>
          <w:rFonts w:ascii="Times New Roman" w:eastAsia="方正仿宋_GBK" w:hAnsi="Times New Roman" w:hint="eastAsia"/>
          <w:sz w:val="32"/>
          <w:szCs w:val="32"/>
        </w:rPr>
        <w:t>年时间。行政单位缴存基数包括国家统一规定的公务员职务工资、级别工资、机关工人岗位工资和技术等级（职</w:t>
      </w:r>
      <w:r>
        <w:rPr>
          <w:rFonts w:ascii="Times New Roman" w:eastAsia="方正仿宋_GBK" w:hAnsi="Times New Roman" w:hint="eastAsia"/>
          <w:sz w:val="32"/>
          <w:szCs w:val="32"/>
        </w:rPr>
        <w:t>务）工资、年终一次性奖金、特殊岗位津贴、艰苦边远地区津贴，规范后发放的工作性津贴、生活性补贴等；事业单位缴存基数包括国家统一规定的岗位工资、薪级工资、绩效工资、艰苦边远地区津贴、特殊岗位津贴等。</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w:t>
      </w:r>
      <w:r>
        <w:rPr>
          <w:rFonts w:ascii="Times New Roman" w:eastAsia="方正仿宋_GBK" w:hAnsi="Times New Roman" w:hint="eastAsia"/>
          <w:sz w:val="32"/>
          <w:szCs w:val="32"/>
        </w:rPr>
        <w:t>2000</w:t>
      </w:r>
      <w:r>
        <w:rPr>
          <w:rFonts w:ascii="Times New Roman" w:eastAsia="方正仿宋_GBK" w:hAnsi="Times New Roman" w:hint="eastAsia"/>
          <w:sz w:val="32"/>
          <w:szCs w:val="32"/>
        </w:rPr>
        <w:t>年开始针对在京中央单位公有住房租金标准提高发放的补贴，中央在京单位按照在职在编职工人数和离退休人数以及相应职级的补贴标准确定，人均月补贴</w:t>
      </w:r>
      <w:r>
        <w:rPr>
          <w:rFonts w:ascii="Times New Roman" w:eastAsia="方正仿宋_GBK" w:hAnsi="Times New Roman" w:hint="eastAsia"/>
          <w:sz w:val="32"/>
          <w:szCs w:val="32"/>
        </w:rPr>
        <w:t>90</w:t>
      </w:r>
      <w:r>
        <w:rPr>
          <w:rFonts w:ascii="Times New Roman" w:eastAsia="方正仿宋_GBK" w:hAnsi="Times New Roman" w:hint="eastAsia"/>
          <w:sz w:val="32"/>
          <w:szCs w:val="32"/>
        </w:rPr>
        <w:t>元。</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lastRenderedPageBreak/>
        <w:t>（三）购房补贴（项）</w:t>
      </w:r>
      <w:r>
        <w:rPr>
          <w:rFonts w:ascii="Times New Roman" w:eastAsia="方正仿宋_GBK" w:hAnsi="Times New Roman" w:hint="eastAsia"/>
          <w:sz w:val="32"/>
          <w:szCs w:val="32"/>
        </w:rPr>
        <w:t>：购房补贴是根据《国务院关于进一步深化城镇住房制度改革加快住房建设的通知》（国发〔</w:t>
      </w:r>
      <w:r>
        <w:rPr>
          <w:rFonts w:ascii="Times New Roman" w:eastAsia="方正仿宋_GBK" w:hAnsi="Times New Roman" w:hint="eastAsia"/>
          <w:sz w:val="32"/>
          <w:szCs w:val="32"/>
        </w:rPr>
        <w:t>1998</w:t>
      </w: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3</w:t>
      </w:r>
      <w:r>
        <w:rPr>
          <w:rFonts w:ascii="Times New Roman" w:eastAsia="方正仿宋_GBK" w:hAnsi="Times New Roman" w:hint="eastAsia"/>
          <w:sz w:val="32"/>
          <w:szCs w:val="32"/>
        </w:rPr>
        <w:t>号）的规定，从</w:t>
      </w:r>
      <w:r>
        <w:rPr>
          <w:rFonts w:ascii="Times New Roman" w:eastAsia="方正仿宋_GBK" w:hAnsi="Times New Roman" w:hint="eastAsia"/>
          <w:sz w:val="32"/>
          <w:szCs w:val="32"/>
        </w:rPr>
        <w:t>1998</w:t>
      </w:r>
      <w:r>
        <w:rPr>
          <w:rFonts w:ascii="Times New Roman" w:eastAsia="方正仿宋_GBK" w:hAnsi="Times New Roman" w:hint="eastAsia"/>
          <w:sz w:val="32"/>
          <w:szCs w:val="32"/>
        </w:rPr>
        <w:t>年下半年停止实物分房后，房价收入比超过</w:t>
      </w:r>
      <w:r>
        <w:rPr>
          <w:rFonts w:ascii="Times New Roman" w:eastAsia="方正仿宋_GBK" w:hAnsi="Times New Roman" w:hint="eastAsia"/>
          <w:sz w:val="32"/>
          <w:szCs w:val="32"/>
        </w:rPr>
        <w:t>4</w:t>
      </w:r>
      <w:r>
        <w:rPr>
          <w:rFonts w:ascii="Times New Roman" w:eastAsia="方正仿宋_GBK" w:hAnsi="Times New Roman" w:hint="eastAsia"/>
          <w:sz w:val="32"/>
          <w:szCs w:val="32"/>
        </w:rPr>
        <w:t>倍以上地区对无房和住房未达标职工发放的住房货币化改革补贴资金。中央行政事业单位从</w:t>
      </w:r>
      <w:r>
        <w:rPr>
          <w:rFonts w:ascii="Times New Roman" w:eastAsia="方正仿宋_GBK" w:hAnsi="Times New Roman" w:hint="eastAsia"/>
          <w:sz w:val="32"/>
          <w:szCs w:val="32"/>
        </w:rPr>
        <w:t>2000</w:t>
      </w:r>
      <w:r>
        <w:rPr>
          <w:rFonts w:ascii="Times New Roman" w:eastAsia="方正仿宋_GBK" w:hAnsi="Times New Roman" w:hint="eastAsia"/>
          <w:sz w:val="32"/>
          <w:szCs w:val="32"/>
        </w:rPr>
        <w:t>年开始发放购房补贴资金，地方行政事业单位从</w:t>
      </w:r>
      <w:r>
        <w:rPr>
          <w:rFonts w:ascii="Times New Roman" w:eastAsia="方正仿宋_GBK" w:hAnsi="Times New Roman" w:hint="eastAsia"/>
          <w:sz w:val="32"/>
          <w:szCs w:val="32"/>
        </w:rPr>
        <w:t>1999</w:t>
      </w:r>
      <w:r>
        <w:rPr>
          <w:rFonts w:ascii="Times New Roman" w:eastAsia="方正仿宋_GBK" w:hAnsi="Times New Roman" w:hint="eastAsia"/>
          <w:sz w:val="32"/>
          <w:szCs w:val="32"/>
        </w:rPr>
        <w:t>年陆续开始发放购房补贴资金，企业根据本单位情况自行确定。在京中央单位按照《中共中央办公厅国务院办公厅转发建设部等单位〈关于完善在京中央和国家机关住房制度的若干意见〉的通知》（厅字〔</w:t>
      </w:r>
      <w:r>
        <w:rPr>
          <w:rFonts w:ascii="Times New Roman" w:eastAsia="方正仿宋_GBK" w:hAnsi="Times New Roman" w:hint="eastAsia"/>
          <w:sz w:val="32"/>
          <w:szCs w:val="32"/>
        </w:rPr>
        <w:t>2005</w:t>
      </w:r>
      <w:r>
        <w:rPr>
          <w:rFonts w:ascii="Times New Roman" w:eastAsia="方正仿宋_GBK" w:hAnsi="Times New Roman" w:hint="eastAsia"/>
          <w:sz w:val="32"/>
          <w:szCs w:val="32"/>
        </w:rPr>
        <w:t>〕</w:t>
      </w:r>
      <w:r>
        <w:rPr>
          <w:rFonts w:ascii="Times New Roman" w:eastAsia="方正仿宋_GBK" w:hAnsi="Times New Roman" w:hint="eastAsia"/>
          <w:sz w:val="32"/>
          <w:szCs w:val="32"/>
        </w:rPr>
        <w:t>8</w:t>
      </w:r>
      <w:r>
        <w:rPr>
          <w:rFonts w:ascii="Times New Roman" w:eastAsia="方正仿宋_GBK" w:hAnsi="Times New Roman" w:hint="eastAsia"/>
          <w:sz w:val="32"/>
          <w:szCs w:val="32"/>
        </w:rPr>
        <w:t>号）规定的标准执行，京外中央单位按照所在地人民政府住房分配货币化改革的政策规定和标准执行。</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w:t>
      </w:r>
      <w:r>
        <w:rPr>
          <w:rFonts w:ascii="Times New Roman" w:eastAsia="方正仿宋_GBK" w:hAnsi="Times New Roman" w:hint="eastAsia"/>
          <w:b/>
          <w:bCs/>
          <w:sz w:val="32"/>
          <w:szCs w:val="32"/>
        </w:rPr>
        <w:t>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w:t>
      </w:r>
      <w:r>
        <w:rPr>
          <w:rFonts w:ascii="Times New Roman" w:eastAsia="方正仿宋_GBK" w:hAnsi="Times New Roman" w:hint="eastAsia"/>
          <w:sz w:val="32"/>
          <w:szCs w:val="32"/>
        </w:rPr>
        <w:t>训费、公杂费等支出；公</w:t>
      </w:r>
      <w:r>
        <w:rPr>
          <w:rFonts w:ascii="Times New Roman" w:eastAsia="方正仿宋_GBK" w:hAnsi="Times New Roman" w:hint="eastAsia"/>
          <w:sz w:val="32"/>
          <w:szCs w:val="32"/>
        </w:rPr>
        <w:lastRenderedPageBreak/>
        <w:t>务用车购置及运行维护费反映单位公务用车购置支出（含车辆购置税）及燃料费、维修费、过路过桥费、保险费、安全奖励费用等支出；公务接待费反映单位按规定开支的各类公务接待（含外宾接待）支出。</w:t>
      </w:r>
    </w:p>
    <w:p w:rsidR="006174B9" w:rsidRDefault="005B2F69">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sectPr w:rsidR="006174B9">
          <w:pgSz w:w="11906" w:h="16838"/>
          <w:pgMar w:top="1440" w:right="1800" w:bottom="1440" w:left="1800" w:header="851" w:footer="992" w:gutter="0"/>
          <w:cols w:space="720"/>
          <w:docGrid w:type="lines" w:linePitch="312"/>
        </w:sectPr>
      </w:pP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p w:rsidR="006174B9" w:rsidRDefault="005B2F69">
      <w:pPr>
        <w:jc w:val="center"/>
        <w:rPr>
          <w:rFonts w:ascii="Times New Roman" w:hAnsi="Times New Roman"/>
          <w:b/>
          <w:sz w:val="84"/>
          <w:szCs w:val="84"/>
        </w:rPr>
      </w:pPr>
      <w:r>
        <w:rPr>
          <w:rFonts w:ascii="Times New Roman" w:hAnsi="Times New Roman" w:hint="eastAsia"/>
          <w:b/>
          <w:sz w:val="84"/>
          <w:szCs w:val="84"/>
        </w:rPr>
        <w:t>第五部分</w:t>
      </w:r>
    </w:p>
    <w:p w:rsidR="006174B9" w:rsidRDefault="005B2F69">
      <w:pPr>
        <w:jc w:val="center"/>
        <w:rPr>
          <w:rFonts w:ascii="Times New Roman" w:hAnsi="Times New Roman"/>
          <w:b/>
          <w:sz w:val="84"/>
          <w:szCs w:val="84"/>
        </w:rPr>
      </w:pPr>
      <w:r>
        <w:rPr>
          <w:rFonts w:ascii="Times New Roman" w:hAnsi="Times New Roman" w:hint="eastAsia"/>
          <w:b/>
          <w:sz w:val="84"/>
          <w:szCs w:val="84"/>
        </w:rPr>
        <w:t>附件</w:t>
      </w: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hint="eastAsia"/>
          <w:sz w:val="32"/>
          <w:szCs w:val="32"/>
        </w:rPr>
      </w:pPr>
    </w:p>
    <w:p w:rsidR="00AC7F2F" w:rsidRDefault="00AC7F2F">
      <w:pPr>
        <w:jc w:val="left"/>
        <w:rPr>
          <w:rFonts w:ascii="Times New Roman" w:eastAsia="方正仿宋_GBK" w:hAnsi="Times New Roman"/>
          <w:sz w:val="32"/>
          <w:szCs w:val="32"/>
        </w:rPr>
      </w:pPr>
    </w:p>
    <w:p w:rsidR="00AC7F2F" w:rsidRDefault="00AC7F2F">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sz w:val="32"/>
          <w:szCs w:val="32"/>
        </w:rPr>
      </w:pPr>
    </w:p>
    <w:p w:rsidR="006174B9" w:rsidRDefault="006174B9">
      <w:pPr>
        <w:jc w:val="left"/>
        <w:rPr>
          <w:rFonts w:ascii="Times New Roman" w:eastAsia="方正仿宋_GBK" w:hAnsi="Times New Roman" w:hint="eastAsia"/>
          <w:sz w:val="32"/>
          <w:szCs w:val="32"/>
        </w:rPr>
        <w:sectPr w:rsidR="006174B9">
          <w:pgSz w:w="11906" w:h="16838"/>
          <w:pgMar w:top="1440" w:right="1800" w:bottom="1440" w:left="1800" w:header="851" w:footer="992" w:gutter="0"/>
          <w:cols w:space="720"/>
          <w:docGrid w:type="lines" w:linePitch="312"/>
        </w:sectPr>
      </w:pPr>
    </w:p>
    <w:tbl>
      <w:tblPr>
        <w:tblW w:w="5656" w:type="pct"/>
        <w:tblInd w:w="-318" w:type="dxa"/>
        <w:tblLook w:val="04A0" w:firstRow="1" w:lastRow="0" w:firstColumn="1" w:lastColumn="0" w:noHBand="0" w:noVBand="1"/>
      </w:tblPr>
      <w:tblGrid>
        <w:gridCol w:w="660"/>
        <w:gridCol w:w="864"/>
        <w:gridCol w:w="1978"/>
        <w:gridCol w:w="1409"/>
        <w:gridCol w:w="1546"/>
        <w:gridCol w:w="1683"/>
        <w:gridCol w:w="1500"/>
      </w:tblGrid>
      <w:tr w:rsidR="00AC7F2F" w:rsidRPr="00826928" w:rsidTr="00D34007">
        <w:trPr>
          <w:trHeight w:val="702"/>
        </w:trPr>
        <w:tc>
          <w:tcPr>
            <w:tcW w:w="4513" w:type="pct"/>
            <w:gridSpan w:val="7"/>
            <w:tcBorders>
              <w:top w:val="nil"/>
              <w:left w:val="nil"/>
              <w:bottom w:val="nil"/>
              <w:right w:val="nil"/>
            </w:tcBorders>
            <w:shd w:val="clear" w:color="auto" w:fill="auto"/>
            <w:vAlign w:val="center"/>
            <w:hideMark/>
          </w:tcPr>
          <w:p w:rsidR="00AC7F2F" w:rsidRDefault="00AC7F2F" w:rsidP="00AC7F2F">
            <w:pPr>
              <w:widowControl/>
              <w:rPr>
                <w:rFonts w:ascii="黑体" w:eastAsia="黑体" w:hAnsi="黑体" w:cs="宋体" w:hint="eastAsia"/>
                <w:kern w:val="0"/>
                <w:sz w:val="32"/>
                <w:szCs w:val="32"/>
              </w:rPr>
            </w:pPr>
            <w:bookmarkStart w:id="1" w:name="_GoBack"/>
          </w:p>
          <w:p w:rsidR="00AC7F2F" w:rsidRPr="00826928" w:rsidRDefault="00AC7F2F" w:rsidP="00D34007">
            <w:pPr>
              <w:widowControl/>
              <w:jc w:val="center"/>
              <w:rPr>
                <w:rFonts w:ascii="黑体" w:eastAsia="黑体" w:hAnsi="黑体" w:cs="宋体"/>
                <w:kern w:val="0"/>
                <w:sz w:val="32"/>
                <w:szCs w:val="32"/>
              </w:rPr>
            </w:pPr>
            <w:r w:rsidRPr="00826928">
              <w:rPr>
                <w:rFonts w:ascii="黑体" w:eastAsia="黑体" w:hAnsi="黑体" w:cs="宋体" w:hint="eastAsia"/>
                <w:kern w:val="0"/>
                <w:sz w:val="32"/>
                <w:szCs w:val="32"/>
              </w:rPr>
              <w:t>项目绩效目标表</w:t>
            </w:r>
          </w:p>
        </w:tc>
      </w:tr>
      <w:tr w:rsidR="00AC7F2F" w:rsidRPr="00826928" w:rsidTr="00D34007">
        <w:trPr>
          <w:trHeight w:val="499"/>
        </w:trPr>
        <w:tc>
          <w:tcPr>
            <w:tcW w:w="4513" w:type="pct"/>
            <w:gridSpan w:val="7"/>
            <w:tcBorders>
              <w:top w:val="nil"/>
              <w:left w:val="nil"/>
              <w:bottom w:val="nil"/>
              <w:right w:val="nil"/>
            </w:tcBorders>
            <w:shd w:val="clear" w:color="auto" w:fill="auto"/>
            <w:hideMark/>
          </w:tcPr>
          <w:p w:rsidR="00AC7F2F" w:rsidRPr="00826928" w:rsidRDefault="00AC7F2F" w:rsidP="00D34007">
            <w:pPr>
              <w:widowControl/>
              <w:jc w:val="center"/>
              <w:rPr>
                <w:rFonts w:ascii="宋体" w:hAnsi="宋体" w:cs="宋体"/>
                <w:kern w:val="0"/>
                <w:sz w:val="24"/>
                <w:szCs w:val="24"/>
              </w:rPr>
            </w:pPr>
            <w:r w:rsidRPr="00826928">
              <w:rPr>
                <w:rFonts w:ascii="宋体" w:hAnsi="宋体" w:cs="宋体" w:hint="eastAsia"/>
                <w:kern w:val="0"/>
                <w:sz w:val="24"/>
                <w:szCs w:val="24"/>
              </w:rPr>
              <w:t>（2025年度）</w:t>
            </w:r>
          </w:p>
        </w:tc>
      </w:tr>
      <w:tr w:rsidR="00AC7F2F" w:rsidRPr="00826928" w:rsidTr="00D34007">
        <w:trPr>
          <w:trHeight w:val="480"/>
        </w:trPr>
        <w:tc>
          <w:tcPr>
            <w:tcW w:w="7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项目名称</w:t>
            </w:r>
          </w:p>
        </w:tc>
        <w:tc>
          <w:tcPr>
            <w:tcW w:w="3799" w:type="pct"/>
            <w:gridSpan w:val="5"/>
            <w:tcBorders>
              <w:top w:val="single" w:sz="4" w:space="0" w:color="auto"/>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海关仪器设备购置及能力保障专项</w:t>
            </w:r>
          </w:p>
        </w:tc>
      </w:tr>
      <w:tr w:rsidR="00AC7F2F" w:rsidRPr="00826928" w:rsidTr="00D34007">
        <w:trPr>
          <w:trHeight w:val="735"/>
        </w:trPr>
        <w:tc>
          <w:tcPr>
            <w:tcW w:w="7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主管部门及代码</w:t>
            </w:r>
          </w:p>
        </w:tc>
        <w:tc>
          <w:tcPr>
            <w:tcW w:w="1586" w:type="pct"/>
            <w:gridSpan w:val="2"/>
            <w:tcBorders>
              <w:top w:val="single" w:sz="4" w:space="0" w:color="auto"/>
              <w:left w:val="nil"/>
              <w:bottom w:val="single" w:sz="4" w:space="0" w:color="auto"/>
              <w:right w:val="nil"/>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[167]海关总署</w:t>
            </w:r>
          </w:p>
        </w:tc>
        <w:tc>
          <w:tcPr>
            <w:tcW w:w="724" w:type="pct"/>
            <w:tcBorders>
              <w:top w:val="nil"/>
              <w:left w:val="single" w:sz="4" w:space="0" w:color="auto"/>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实施单位</w:t>
            </w:r>
          </w:p>
        </w:tc>
        <w:tc>
          <w:tcPr>
            <w:tcW w:w="1490" w:type="pct"/>
            <w:gridSpan w:val="2"/>
            <w:tcBorders>
              <w:top w:val="single" w:sz="4" w:space="0" w:color="auto"/>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昆山海关综合技术服务中心</w:t>
            </w:r>
          </w:p>
        </w:tc>
      </w:tr>
      <w:tr w:rsidR="00AC7F2F" w:rsidRPr="00826928" w:rsidTr="00D34007">
        <w:trPr>
          <w:trHeight w:val="439"/>
        </w:trPr>
        <w:tc>
          <w:tcPr>
            <w:tcW w:w="713"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项目资金</w:t>
            </w:r>
            <w:r w:rsidRPr="00826928">
              <w:rPr>
                <w:rFonts w:ascii="宋体" w:hAnsi="宋体" w:cs="宋体" w:hint="eastAsia"/>
                <w:kern w:val="0"/>
                <w:sz w:val="22"/>
              </w:rPr>
              <w:br/>
              <w:t>（万元）</w:t>
            </w:r>
          </w:p>
        </w:tc>
        <w:tc>
          <w:tcPr>
            <w:tcW w:w="1586" w:type="pct"/>
            <w:gridSpan w:val="2"/>
            <w:tcBorders>
              <w:top w:val="single" w:sz="4" w:space="0" w:color="auto"/>
              <w:left w:val="nil"/>
              <w:bottom w:val="single" w:sz="4" w:space="0" w:color="auto"/>
              <w:right w:val="nil"/>
            </w:tcBorders>
            <w:shd w:val="clear" w:color="auto" w:fill="auto"/>
            <w:vAlign w:val="center"/>
            <w:hideMark/>
          </w:tcPr>
          <w:p w:rsidR="00AC7F2F" w:rsidRPr="00826928" w:rsidRDefault="00AC7F2F" w:rsidP="00D34007">
            <w:pPr>
              <w:widowControl/>
              <w:jc w:val="left"/>
              <w:rPr>
                <w:rFonts w:ascii="宋体" w:hAnsi="宋体" w:cs="宋体"/>
                <w:kern w:val="0"/>
                <w:sz w:val="22"/>
              </w:rPr>
            </w:pPr>
            <w:r w:rsidRPr="00826928">
              <w:rPr>
                <w:rFonts w:ascii="宋体" w:hAnsi="宋体" w:cs="宋体" w:hint="eastAsia"/>
                <w:kern w:val="0"/>
                <w:sz w:val="22"/>
              </w:rPr>
              <w:t xml:space="preserve"> 年度资金总额：</w:t>
            </w:r>
          </w:p>
        </w:tc>
        <w:tc>
          <w:tcPr>
            <w:tcW w:w="15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7F2F" w:rsidRPr="00826928" w:rsidRDefault="00AC7F2F" w:rsidP="00D34007">
            <w:pPr>
              <w:widowControl/>
              <w:jc w:val="right"/>
              <w:rPr>
                <w:rFonts w:ascii="宋体" w:hAnsi="宋体" w:cs="宋体"/>
                <w:kern w:val="0"/>
                <w:sz w:val="22"/>
              </w:rPr>
            </w:pPr>
            <w:r w:rsidRPr="00826928">
              <w:rPr>
                <w:rFonts w:ascii="宋体" w:hAnsi="宋体" w:cs="宋体" w:hint="eastAsia"/>
                <w:kern w:val="0"/>
                <w:sz w:val="22"/>
              </w:rPr>
              <w:t xml:space="preserve"> 3.00 </w:t>
            </w:r>
          </w:p>
        </w:tc>
        <w:tc>
          <w:tcPr>
            <w:tcW w:w="70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执行率</w:t>
            </w:r>
            <w:r w:rsidRPr="00826928">
              <w:rPr>
                <w:rFonts w:ascii="宋体" w:hAnsi="宋体" w:cs="宋体" w:hint="eastAsia"/>
                <w:kern w:val="0"/>
                <w:sz w:val="22"/>
              </w:rPr>
              <w:br/>
              <w:t>分值</w:t>
            </w:r>
            <w:r w:rsidRPr="00826928">
              <w:rPr>
                <w:rFonts w:ascii="宋体" w:hAnsi="宋体" w:cs="宋体" w:hint="eastAsia"/>
                <w:kern w:val="0"/>
                <w:sz w:val="22"/>
              </w:rPr>
              <w:br/>
              <w:t>（10）</w:t>
            </w:r>
          </w:p>
        </w:tc>
      </w:tr>
      <w:tr w:rsidR="00AC7F2F" w:rsidRPr="00826928" w:rsidTr="00D34007">
        <w:trPr>
          <w:trHeight w:val="439"/>
        </w:trPr>
        <w:tc>
          <w:tcPr>
            <w:tcW w:w="713" w:type="pct"/>
            <w:gridSpan w:val="2"/>
            <w:vMerge/>
            <w:tcBorders>
              <w:top w:val="single" w:sz="4" w:space="0" w:color="auto"/>
              <w:left w:val="single" w:sz="4" w:space="0" w:color="auto"/>
              <w:bottom w:val="single" w:sz="4" w:space="0" w:color="000000"/>
              <w:right w:val="single" w:sz="4" w:space="0" w:color="000000"/>
            </w:tcBorders>
            <w:vAlign w:val="center"/>
            <w:hideMark/>
          </w:tcPr>
          <w:p w:rsidR="00AC7F2F" w:rsidRPr="00826928" w:rsidRDefault="00AC7F2F" w:rsidP="00D34007">
            <w:pPr>
              <w:widowControl/>
              <w:jc w:val="left"/>
              <w:rPr>
                <w:rFonts w:ascii="宋体" w:hAnsi="宋体" w:cs="宋体"/>
                <w:kern w:val="0"/>
                <w:sz w:val="22"/>
              </w:rPr>
            </w:pPr>
          </w:p>
        </w:tc>
        <w:tc>
          <w:tcPr>
            <w:tcW w:w="1586" w:type="pct"/>
            <w:gridSpan w:val="2"/>
            <w:tcBorders>
              <w:top w:val="single" w:sz="4" w:space="0" w:color="auto"/>
              <w:left w:val="nil"/>
              <w:bottom w:val="single" w:sz="4" w:space="0" w:color="auto"/>
              <w:right w:val="nil"/>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 xml:space="preserve">    其中：财政拨款</w:t>
            </w:r>
          </w:p>
        </w:tc>
        <w:tc>
          <w:tcPr>
            <w:tcW w:w="15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7F2F" w:rsidRPr="00826928" w:rsidRDefault="00AC7F2F" w:rsidP="00D34007">
            <w:pPr>
              <w:widowControl/>
              <w:jc w:val="right"/>
              <w:rPr>
                <w:rFonts w:ascii="宋体" w:hAnsi="宋体" w:cs="宋体"/>
                <w:kern w:val="0"/>
                <w:sz w:val="22"/>
              </w:rPr>
            </w:pPr>
            <w:r w:rsidRPr="00826928">
              <w:rPr>
                <w:rFonts w:ascii="宋体" w:hAnsi="宋体" w:cs="宋体" w:hint="eastAsia"/>
                <w:kern w:val="0"/>
                <w:sz w:val="22"/>
              </w:rPr>
              <w:t xml:space="preserve"> 3.00 </w:t>
            </w:r>
          </w:p>
        </w:tc>
        <w:tc>
          <w:tcPr>
            <w:tcW w:w="702" w:type="pct"/>
            <w:vMerge/>
            <w:tcBorders>
              <w:top w:val="nil"/>
              <w:left w:val="single" w:sz="4" w:space="0" w:color="auto"/>
              <w:bottom w:val="single" w:sz="4" w:space="0" w:color="000000"/>
              <w:right w:val="single" w:sz="4" w:space="0" w:color="auto"/>
            </w:tcBorders>
            <w:vAlign w:val="center"/>
            <w:hideMark/>
          </w:tcPr>
          <w:p w:rsidR="00AC7F2F" w:rsidRPr="00826928" w:rsidRDefault="00AC7F2F" w:rsidP="00D34007">
            <w:pPr>
              <w:widowControl/>
              <w:jc w:val="left"/>
              <w:rPr>
                <w:rFonts w:ascii="宋体" w:hAnsi="宋体" w:cs="宋体"/>
                <w:kern w:val="0"/>
                <w:sz w:val="22"/>
              </w:rPr>
            </w:pPr>
          </w:p>
        </w:tc>
      </w:tr>
      <w:tr w:rsidR="00AC7F2F" w:rsidRPr="00826928" w:rsidTr="00D34007">
        <w:trPr>
          <w:trHeight w:val="439"/>
        </w:trPr>
        <w:tc>
          <w:tcPr>
            <w:tcW w:w="713" w:type="pct"/>
            <w:gridSpan w:val="2"/>
            <w:vMerge/>
            <w:tcBorders>
              <w:top w:val="single" w:sz="4" w:space="0" w:color="auto"/>
              <w:left w:val="single" w:sz="4" w:space="0" w:color="auto"/>
              <w:bottom w:val="single" w:sz="4" w:space="0" w:color="000000"/>
              <w:right w:val="single" w:sz="4" w:space="0" w:color="000000"/>
            </w:tcBorders>
            <w:vAlign w:val="center"/>
            <w:hideMark/>
          </w:tcPr>
          <w:p w:rsidR="00AC7F2F" w:rsidRPr="00826928" w:rsidRDefault="00AC7F2F" w:rsidP="00D34007">
            <w:pPr>
              <w:widowControl/>
              <w:jc w:val="left"/>
              <w:rPr>
                <w:rFonts w:ascii="宋体" w:hAnsi="宋体" w:cs="宋体"/>
                <w:kern w:val="0"/>
                <w:sz w:val="22"/>
              </w:rPr>
            </w:pPr>
          </w:p>
        </w:tc>
        <w:tc>
          <w:tcPr>
            <w:tcW w:w="1586" w:type="pct"/>
            <w:gridSpan w:val="2"/>
            <w:tcBorders>
              <w:top w:val="single" w:sz="4" w:space="0" w:color="auto"/>
              <w:left w:val="nil"/>
              <w:bottom w:val="single" w:sz="4" w:space="0" w:color="auto"/>
              <w:right w:val="nil"/>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 xml:space="preserve">          上年结转</w:t>
            </w:r>
          </w:p>
        </w:tc>
        <w:tc>
          <w:tcPr>
            <w:tcW w:w="15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7F2F" w:rsidRPr="00826928" w:rsidRDefault="00AC7F2F" w:rsidP="00D34007">
            <w:pPr>
              <w:widowControl/>
              <w:jc w:val="right"/>
              <w:rPr>
                <w:rFonts w:ascii="宋体" w:hAnsi="宋体" w:cs="宋体"/>
                <w:kern w:val="0"/>
                <w:sz w:val="22"/>
              </w:rPr>
            </w:pPr>
            <w:r w:rsidRPr="00826928">
              <w:rPr>
                <w:rFonts w:ascii="宋体" w:hAnsi="宋体" w:cs="宋体" w:hint="eastAsia"/>
                <w:kern w:val="0"/>
                <w:sz w:val="22"/>
              </w:rPr>
              <w:t xml:space="preserve"> - </w:t>
            </w:r>
          </w:p>
        </w:tc>
        <w:tc>
          <w:tcPr>
            <w:tcW w:w="702" w:type="pct"/>
            <w:vMerge/>
            <w:tcBorders>
              <w:top w:val="nil"/>
              <w:left w:val="single" w:sz="4" w:space="0" w:color="auto"/>
              <w:bottom w:val="single" w:sz="4" w:space="0" w:color="000000"/>
              <w:right w:val="single" w:sz="4" w:space="0" w:color="auto"/>
            </w:tcBorders>
            <w:vAlign w:val="center"/>
            <w:hideMark/>
          </w:tcPr>
          <w:p w:rsidR="00AC7F2F" w:rsidRPr="00826928" w:rsidRDefault="00AC7F2F" w:rsidP="00D34007">
            <w:pPr>
              <w:widowControl/>
              <w:jc w:val="left"/>
              <w:rPr>
                <w:rFonts w:ascii="宋体" w:hAnsi="宋体" w:cs="宋体"/>
                <w:kern w:val="0"/>
                <w:sz w:val="22"/>
              </w:rPr>
            </w:pPr>
          </w:p>
        </w:tc>
      </w:tr>
      <w:tr w:rsidR="00AC7F2F" w:rsidRPr="00826928" w:rsidTr="00D34007">
        <w:trPr>
          <w:trHeight w:val="439"/>
        </w:trPr>
        <w:tc>
          <w:tcPr>
            <w:tcW w:w="713" w:type="pct"/>
            <w:gridSpan w:val="2"/>
            <w:vMerge/>
            <w:tcBorders>
              <w:top w:val="single" w:sz="4" w:space="0" w:color="auto"/>
              <w:left w:val="single" w:sz="4" w:space="0" w:color="auto"/>
              <w:bottom w:val="single" w:sz="4" w:space="0" w:color="000000"/>
              <w:right w:val="single" w:sz="4" w:space="0" w:color="000000"/>
            </w:tcBorders>
            <w:vAlign w:val="center"/>
            <w:hideMark/>
          </w:tcPr>
          <w:p w:rsidR="00AC7F2F" w:rsidRPr="00826928" w:rsidRDefault="00AC7F2F" w:rsidP="00D34007">
            <w:pPr>
              <w:widowControl/>
              <w:jc w:val="left"/>
              <w:rPr>
                <w:rFonts w:ascii="宋体" w:hAnsi="宋体" w:cs="宋体"/>
                <w:kern w:val="0"/>
                <w:sz w:val="22"/>
              </w:rPr>
            </w:pPr>
          </w:p>
        </w:tc>
        <w:tc>
          <w:tcPr>
            <w:tcW w:w="1586" w:type="pct"/>
            <w:gridSpan w:val="2"/>
            <w:tcBorders>
              <w:top w:val="single" w:sz="4" w:space="0" w:color="auto"/>
              <w:left w:val="nil"/>
              <w:bottom w:val="single" w:sz="4" w:space="0" w:color="auto"/>
              <w:right w:val="nil"/>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 xml:space="preserve">          其他资金</w:t>
            </w:r>
          </w:p>
        </w:tc>
        <w:tc>
          <w:tcPr>
            <w:tcW w:w="15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7F2F" w:rsidRPr="00826928" w:rsidRDefault="00AC7F2F" w:rsidP="00D34007">
            <w:pPr>
              <w:widowControl/>
              <w:jc w:val="right"/>
              <w:rPr>
                <w:rFonts w:ascii="宋体" w:hAnsi="宋体" w:cs="宋体"/>
                <w:kern w:val="0"/>
                <w:sz w:val="22"/>
              </w:rPr>
            </w:pPr>
            <w:r w:rsidRPr="00826928">
              <w:rPr>
                <w:rFonts w:ascii="宋体" w:hAnsi="宋体" w:cs="宋体" w:hint="eastAsia"/>
                <w:kern w:val="0"/>
                <w:sz w:val="22"/>
              </w:rPr>
              <w:t xml:space="preserve"> - </w:t>
            </w:r>
          </w:p>
        </w:tc>
        <w:tc>
          <w:tcPr>
            <w:tcW w:w="702" w:type="pct"/>
            <w:vMerge/>
            <w:tcBorders>
              <w:top w:val="nil"/>
              <w:left w:val="single" w:sz="4" w:space="0" w:color="auto"/>
              <w:bottom w:val="single" w:sz="4" w:space="0" w:color="000000"/>
              <w:right w:val="single" w:sz="4" w:space="0" w:color="auto"/>
            </w:tcBorders>
            <w:vAlign w:val="center"/>
            <w:hideMark/>
          </w:tcPr>
          <w:p w:rsidR="00AC7F2F" w:rsidRPr="00826928" w:rsidRDefault="00AC7F2F" w:rsidP="00D34007">
            <w:pPr>
              <w:widowControl/>
              <w:jc w:val="left"/>
              <w:rPr>
                <w:rFonts w:ascii="宋体" w:hAnsi="宋体" w:cs="宋体"/>
                <w:kern w:val="0"/>
                <w:sz w:val="22"/>
              </w:rPr>
            </w:pPr>
          </w:p>
        </w:tc>
      </w:tr>
      <w:tr w:rsidR="00AC7F2F" w:rsidRPr="00826928" w:rsidTr="00D34007">
        <w:trPr>
          <w:trHeight w:val="1515"/>
        </w:trPr>
        <w:tc>
          <w:tcPr>
            <w:tcW w:w="309" w:type="pct"/>
            <w:tcBorders>
              <w:top w:val="nil"/>
              <w:left w:val="single" w:sz="4" w:space="0" w:color="auto"/>
              <w:bottom w:val="nil"/>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年</w:t>
            </w:r>
            <w:r w:rsidRPr="00826928">
              <w:rPr>
                <w:rFonts w:ascii="宋体" w:hAnsi="宋体" w:cs="宋体" w:hint="eastAsia"/>
                <w:kern w:val="0"/>
                <w:sz w:val="22"/>
              </w:rPr>
              <w:br/>
              <w:t>度</w:t>
            </w:r>
            <w:r w:rsidRPr="00826928">
              <w:rPr>
                <w:rFonts w:ascii="宋体" w:hAnsi="宋体" w:cs="宋体" w:hint="eastAsia"/>
                <w:kern w:val="0"/>
                <w:sz w:val="22"/>
              </w:rPr>
              <w:br/>
              <w:t>总</w:t>
            </w:r>
            <w:r w:rsidRPr="00826928">
              <w:rPr>
                <w:rFonts w:ascii="宋体" w:hAnsi="宋体" w:cs="宋体" w:hint="eastAsia"/>
                <w:kern w:val="0"/>
                <w:sz w:val="22"/>
              </w:rPr>
              <w:br/>
              <w:t>体</w:t>
            </w:r>
            <w:r w:rsidRPr="00826928">
              <w:rPr>
                <w:rFonts w:ascii="宋体" w:hAnsi="宋体" w:cs="宋体" w:hint="eastAsia"/>
                <w:kern w:val="0"/>
                <w:sz w:val="22"/>
              </w:rPr>
              <w:br/>
              <w:t>目</w:t>
            </w:r>
            <w:r w:rsidRPr="00826928">
              <w:rPr>
                <w:rFonts w:ascii="宋体" w:hAnsi="宋体" w:cs="宋体" w:hint="eastAsia"/>
                <w:kern w:val="0"/>
                <w:sz w:val="22"/>
              </w:rPr>
              <w:br/>
              <w:t>标</w:t>
            </w:r>
          </w:p>
        </w:tc>
        <w:tc>
          <w:tcPr>
            <w:tcW w:w="4204" w:type="pct"/>
            <w:gridSpan w:val="6"/>
            <w:tcBorders>
              <w:top w:val="single" w:sz="4" w:space="0" w:color="auto"/>
              <w:left w:val="nil"/>
              <w:bottom w:val="single" w:sz="4" w:space="0" w:color="auto"/>
              <w:right w:val="single" w:sz="4" w:space="0" w:color="auto"/>
            </w:tcBorders>
            <w:shd w:val="clear" w:color="auto" w:fill="auto"/>
            <w:vAlign w:val="center"/>
            <w:hideMark/>
          </w:tcPr>
          <w:p w:rsidR="00AC7F2F" w:rsidRPr="00826928" w:rsidRDefault="00AC7F2F" w:rsidP="00D34007">
            <w:pPr>
              <w:widowControl/>
              <w:rPr>
                <w:rFonts w:ascii="宋体" w:hAnsi="宋体" w:cs="宋体"/>
                <w:kern w:val="0"/>
                <w:sz w:val="22"/>
              </w:rPr>
            </w:pPr>
            <w:r w:rsidRPr="00826928">
              <w:rPr>
                <w:rFonts w:ascii="宋体" w:hAnsi="宋体" w:cs="宋体" w:hint="eastAsia"/>
                <w:kern w:val="0"/>
                <w:sz w:val="22"/>
              </w:rPr>
              <w:t>对昆山海关综合技术服务中心下属的国家自行车检测重点实验室（昆山）的设施进行更新升级及运行维护，保障符合法律法规要求，提高检测精准度。</w:t>
            </w:r>
          </w:p>
        </w:tc>
      </w:tr>
      <w:tr w:rsidR="00AC7F2F" w:rsidRPr="00826928" w:rsidTr="00D34007">
        <w:trPr>
          <w:trHeight w:val="600"/>
        </w:trPr>
        <w:tc>
          <w:tcPr>
            <w:tcW w:w="30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绩</w:t>
            </w:r>
            <w:r w:rsidRPr="00826928">
              <w:rPr>
                <w:rFonts w:ascii="宋体" w:hAnsi="宋体" w:cs="宋体" w:hint="eastAsia"/>
                <w:kern w:val="0"/>
                <w:sz w:val="22"/>
              </w:rPr>
              <w:br/>
              <w:t>效</w:t>
            </w:r>
            <w:r w:rsidRPr="00826928">
              <w:rPr>
                <w:rFonts w:ascii="宋体" w:hAnsi="宋体" w:cs="宋体" w:hint="eastAsia"/>
                <w:kern w:val="0"/>
                <w:sz w:val="22"/>
              </w:rPr>
              <w:br/>
              <w:t>指</w:t>
            </w:r>
            <w:r w:rsidRPr="00826928">
              <w:rPr>
                <w:rFonts w:ascii="宋体" w:hAnsi="宋体" w:cs="宋体" w:hint="eastAsia"/>
                <w:kern w:val="0"/>
                <w:sz w:val="22"/>
              </w:rPr>
              <w:br/>
              <w:t>标</w:t>
            </w:r>
          </w:p>
        </w:tc>
        <w:tc>
          <w:tcPr>
            <w:tcW w:w="404" w:type="pct"/>
            <w:tcBorders>
              <w:top w:val="nil"/>
              <w:left w:val="nil"/>
              <w:bottom w:val="single" w:sz="4" w:space="0" w:color="auto"/>
              <w:right w:val="single" w:sz="4" w:space="0" w:color="auto"/>
            </w:tcBorders>
            <w:shd w:val="clear" w:color="auto" w:fill="auto"/>
            <w:noWrap/>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一级</w:t>
            </w:r>
            <w:r w:rsidRPr="00826928">
              <w:rPr>
                <w:rFonts w:ascii="宋体" w:hAnsi="宋体" w:cs="宋体" w:hint="eastAsia"/>
                <w:kern w:val="0"/>
                <w:sz w:val="22"/>
              </w:rPr>
              <w:br/>
              <w:t>指标</w:t>
            </w:r>
          </w:p>
        </w:tc>
        <w:tc>
          <w:tcPr>
            <w:tcW w:w="926" w:type="pct"/>
            <w:tcBorders>
              <w:top w:val="nil"/>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二级指标</w:t>
            </w:r>
          </w:p>
        </w:tc>
        <w:tc>
          <w:tcPr>
            <w:tcW w:w="1384" w:type="pct"/>
            <w:gridSpan w:val="2"/>
            <w:tcBorders>
              <w:top w:val="single" w:sz="4" w:space="0" w:color="auto"/>
              <w:left w:val="nil"/>
              <w:bottom w:val="single" w:sz="4" w:space="0" w:color="auto"/>
              <w:right w:val="single" w:sz="4" w:space="0" w:color="000000"/>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三级指标</w:t>
            </w:r>
          </w:p>
        </w:tc>
        <w:tc>
          <w:tcPr>
            <w:tcW w:w="788" w:type="pct"/>
            <w:tcBorders>
              <w:top w:val="nil"/>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指标值</w:t>
            </w:r>
          </w:p>
        </w:tc>
        <w:tc>
          <w:tcPr>
            <w:tcW w:w="702" w:type="pct"/>
            <w:tcBorders>
              <w:top w:val="nil"/>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分值</w:t>
            </w:r>
            <w:r w:rsidRPr="00826928">
              <w:rPr>
                <w:rFonts w:ascii="宋体" w:hAnsi="宋体" w:cs="宋体" w:hint="eastAsia"/>
                <w:kern w:val="0"/>
                <w:sz w:val="22"/>
              </w:rPr>
              <w:br/>
              <w:t>（90）</w:t>
            </w:r>
          </w:p>
        </w:tc>
      </w:tr>
      <w:tr w:rsidR="00AC7F2F" w:rsidRPr="00826928" w:rsidTr="00D34007">
        <w:trPr>
          <w:trHeight w:val="439"/>
        </w:trPr>
        <w:tc>
          <w:tcPr>
            <w:tcW w:w="309" w:type="pct"/>
            <w:vMerge/>
            <w:tcBorders>
              <w:top w:val="single" w:sz="4" w:space="0" w:color="auto"/>
              <w:left w:val="single" w:sz="4" w:space="0" w:color="auto"/>
              <w:bottom w:val="single" w:sz="4" w:space="0" w:color="000000"/>
              <w:right w:val="single" w:sz="4" w:space="0" w:color="auto"/>
            </w:tcBorders>
            <w:vAlign w:val="center"/>
            <w:hideMark/>
          </w:tcPr>
          <w:p w:rsidR="00AC7F2F" w:rsidRPr="00826928" w:rsidRDefault="00AC7F2F" w:rsidP="00D34007">
            <w:pPr>
              <w:widowControl/>
              <w:jc w:val="left"/>
              <w:rPr>
                <w:rFonts w:ascii="宋体" w:hAnsi="宋体" w:cs="宋体"/>
                <w:kern w:val="0"/>
                <w:sz w:val="22"/>
              </w:rPr>
            </w:pPr>
          </w:p>
        </w:tc>
        <w:tc>
          <w:tcPr>
            <w:tcW w:w="404" w:type="pct"/>
            <w:vMerge w:val="restart"/>
            <w:tcBorders>
              <w:top w:val="nil"/>
              <w:left w:val="single" w:sz="4" w:space="0" w:color="auto"/>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产出指标</w:t>
            </w:r>
          </w:p>
        </w:tc>
        <w:tc>
          <w:tcPr>
            <w:tcW w:w="926" w:type="pct"/>
            <w:tcBorders>
              <w:top w:val="nil"/>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数量指标</w:t>
            </w:r>
          </w:p>
        </w:tc>
        <w:tc>
          <w:tcPr>
            <w:tcW w:w="1384" w:type="pct"/>
            <w:gridSpan w:val="2"/>
            <w:tcBorders>
              <w:top w:val="single" w:sz="4" w:space="0" w:color="auto"/>
              <w:left w:val="nil"/>
              <w:bottom w:val="single" w:sz="4" w:space="0" w:color="auto"/>
              <w:right w:val="nil"/>
            </w:tcBorders>
            <w:shd w:val="clear" w:color="auto" w:fill="auto"/>
            <w:vAlign w:val="center"/>
            <w:hideMark/>
          </w:tcPr>
          <w:p w:rsidR="00AC7F2F" w:rsidRPr="00826928" w:rsidRDefault="00AC7F2F" w:rsidP="00D34007">
            <w:pPr>
              <w:widowControl/>
              <w:rPr>
                <w:rFonts w:ascii="宋体" w:hAnsi="宋体" w:cs="宋体"/>
                <w:kern w:val="0"/>
                <w:sz w:val="22"/>
              </w:rPr>
            </w:pPr>
            <w:r w:rsidRPr="00826928">
              <w:rPr>
                <w:rFonts w:ascii="宋体" w:hAnsi="宋体" w:cs="宋体" w:hint="eastAsia"/>
                <w:kern w:val="0"/>
                <w:sz w:val="22"/>
              </w:rPr>
              <w:t>运维实验室个数</w:t>
            </w:r>
          </w:p>
        </w:tc>
        <w:tc>
          <w:tcPr>
            <w:tcW w:w="788" w:type="pct"/>
            <w:tcBorders>
              <w:top w:val="nil"/>
              <w:left w:val="single" w:sz="4" w:space="0" w:color="auto"/>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≥1个</w:t>
            </w:r>
          </w:p>
        </w:tc>
        <w:tc>
          <w:tcPr>
            <w:tcW w:w="702" w:type="pct"/>
            <w:tcBorders>
              <w:top w:val="nil"/>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20</w:t>
            </w:r>
          </w:p>
        </w:tc>
      </w:tr>
      <w:tr w:rsidR="00AC7F2F" w:rsidRPr="00826928" w:rsidTr="00D34007">
        <w:trPr>
          <w:trHeight w:val="645"/>
        </w:trPr>
        <w:tc>
          <w:tcPr>
            <w:tcW w:w="309" w:type="pct"/>
            <w:vMerge/>
            <w:tcBorders>
              <w:top w:val="single" w:sz="4" w:space="0" w:color="auto"/>
              <w:left w:val="single" w:sz="4" w:space="0" w:color="auto"/>
              <w:bottom w:val="single" w:sz="4" w:space="0" w:color="000000"/>
              <w:right w:val="single" w:sz="4" w:space="0" w:color="auto"/>
            </w:tcBorders>
            <w:vAlign w:val="center"/>
            <w:hideMark/>
          </w:tcPr>
          <w:p w:rsidR="00AC7F2F" w:rsidRPr="00826928" w:rsidRDefault="00AC7F2F" w:rsidP="00D34007">
            <w:pPr>
              <w:widowControl/>
              <w:jc w:val="left"/>
              <w:rPr>
                <w:rFonts w:ascii="宋体" w:hAnsi="宋体" w:cs="宋体"/>
                <w:kern w:val="0"/>
                <w:sz w:val="22"/>
              </w:rPr>
            </w:pPr>
          </w:p>
        </w:tc>
        <w:tc>
          <w:tcPr>
            <w:tcW w:w="404" w:type="pct"/>
            <w:vMerge/>
            <w:tcBorders>
              <w:top w:val="nil"/>
              <w:left w:val="single" w:sz="4" w:space="0" w:color="auto"/>
              <w:bottom w:val="single" w:sz="4" w:space="0" w:color="auto"/>
              <w:right w:val="single" w:sz="4" w:space="0" w:color="auto"/>
            </w:tcBorders>
            <w:vAlign w:val="center"/>
            <w:hideMark/>
          </w:tcPr>
          <w:p w:rsidR="00AC7F2F" w:rsidRPr="00826928" w:rsidRDefault="00AC7F2F" w:rsidP="00D34007">
            <w:pPr>
              <w:widowControl/>
              <w:jc w:val="left"/>
              <w:rPr>
                <w:rFonts w:ascii="宋体" w:hAnsi="宋体" w:cs="宋体"/>
                <w:kern w:val="0"/>
                <w:sz w:val="22"/>
              </w:rPr>
            </w:pPr>
          </w:p>
        </w:tc>
        <w:tc>
          <w:tcPr>
            <w:tcW w:w="926" w:type="pct"/>
            <w:tcBorders>
              <w:top w:val="nil"/>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质量指标</w:t>
            </w:r>
          </w:p>
        </w:tc>
        <w:tc>
          <w:tcPr>
            <w:tcW w:w="1384" w:type="pct"/>
            <w:gridSpan w:val="2"/>
            <w:tcBorders>
              <w:top w:val="single" w:sz="4" w:space="0" w:color="auto"/>
              <w:left w:val="nil"/>
              <w:bottom w:val="single" w:sz="4" w:space="0" w:color="auto"/>
              <w:right w:val="nil"/>
            </w:tcBorders>
            <w:shd w:val="clear" w:color="auto" w:fill="auto"/>
            <w:vAlign w:val="center"/>
            <w:hideMark/>
          </w:tcPr>
          <w:p w:rsidR="00AC7F2F" w:rsidRPr="00826928" w:rsidRDefault="00AC7F2F" w:rsidP="00D34007">
            <w:pPr>
              <w:widowControl/>
              <w:rPr>
                <w:rFonts w:ascii="宋体" w:hAnsi="宋体" w:cs="宋体"/>
                <w:kern w:val="0"/>
                <w:sz w:val="22"/>
              </w:rPr>
            </w:pPr>
            <w:r w:rsidRPr="00826928">
              <w:rPr>
                <w:rFonts w:ascii="宋体" w:hAnsi="宋体" w:cs="宋体" w:hint="eastAsia"/>
                <w:kern w:val="0"/>
                <w:sz w:val="22"/>
              </w:rPr>
              <w:t>设备正常使用率</w:t>
            </w:r>
          </w:p>
        </w:tc>
        <w:tc>
          <w:tcPr>
            <w:tcW w:w="788" w:type="pct"/>
            <w:tcBorders>
              <w:top w:val="nil"/>
              <w:left w:val="single" w:sz="4" w:space="0" w:color="auto"/>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≥98%</w:t>
            </w:r>
          </w:p>
        </w:tc>
        <w:tc>
          <w:tcPr>
            <w:tcW w:w="702" w:type="pct"/>
            <w:tcBorders>
              <w:top w:val="nil"/>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30</w:t>
            </w:r>
          </w:p>
        </w:tc>
      </w:tr>
      <w:tr w:rsidR="00AC7F2F" w:rsidRPr="00826928" w:rsidTr="00D34007">
        <w:trPr>
          <w:trHeight w:val="1230"/>
        </w:trPr>
        <w:tc>
          <w:tcPr>
            <w:tcW w:w="309" w:type="pct"/>
            <w:vMerge/>
            <w:tcBorders>
              <w:top w:val="single" w:sz="4" w:space="0" w:color="auto"/>
              <w:left w:val="single" w:sz="4" w:space="0" w:color="auto"/>
              <w:bottom w:val="single" w:sz="4" w:space="0" w:color="000000"/>
              <w:right w:val="single" w:sz="4" w:space="0" w:color="auto"/>
            </w:tcBorders>
            <w:vAlign w:val="center"/>
            <w:hideMark/>
          </w:tcPr>
          <w:p w:rsidR="00AC7F2F" w:rsidRPr="00826928" w:rsidRDefault="00AC7F2F" w:rsidP="00D34007">
            <w:pPr>
              <w:widowControl/>
              <w:jc w:val="left"/>
              <w:rPr>
                <w:rFonts w:ascii="宋体" w:hAnsi="宋体" w:cs="宋体"/>
                <w:kern w:val="0"/>
                <w:sz w:val="22"/>
              </w:rPr>
            </w:pPr>
          </w:p>
        </w:tc>
        <w:tc>
          <w:tcPr>
            <w:tcW w:w="404" w:type="pct"/>
            <w:tcBorders>
              <w:top w:val="nil"/>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效益指标</w:t>
            </w:r>
          </w:p>
        </w:tc>
        <w:tc>
          <w:tcPr>
            <w:tcW w:w="926" w:type="pct"/>
            <w:tcBorders>
              <w:top w:val="nil"/>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生态效益指标</w:t>
            </w:r>
          </w:p>
        </w:tc>
        <w:tc>
          <w:tcPr>
            <w:tcW w:w="1384" w:type="pct"/>
            <w:gridSpan w:val="2"/>
            <w:tcBorders>
              <w:top w:val="single" w:sz="4" w:space="0" w:color="auto"/>
              <w:left w:val="nil"/>
              <w:bottom w:val="single" w:sz="4" w:space="0" w:color="auto"/>
              <w:right w:val="nil"/>
            </w:tcBorders>
            <w:shd w:val="clear" w:color="auto" w:fill="auto"/>
            <w:vAlign w:val="center"/>
            <w:hideMark/>
          </w:tcPr>
          <w:p w:rsidR="00AC7F2F" w:rsidRPr="00826928" w:rsidRDefault="00AC7F2F" w:rsidP="00D34007">
            <w:pPr>
              <w:widowControl/>
              <w:rPr>
                <w:rFonts w:ascii="宋体" w:hAnsi="宋体" w:cs="宋体"/>
                <w:kern w:val="0"/>
                <w:sz w:val="22"/>
              </w:rPr>
            </w:pPr>
            <w:r w:rsidRPr="00826928">
              <w:rPr>
                <w:rFonts w:ascii="宋体" w:hAnsi="宋体" w:cs="宋体" w:hint="eastAsia"/>
                <w:kern w:val="0"/>
                <w:sz w:val="22"/>
              </w:rPr>
              <w:t>设备有效利用率</w:t>
            </w:r>
          </w:p>
        </w:tc>
        <w:tc>
          <w:tcPr>
            <w:tcW w:w="788" w:type="pct"/>
            <w:tcBorders>
              <w:top w:val="nil"/>
              <w:left w:val="single" w:sz="4" w:space="0" w:color="auto"/>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≥90%</w:t>
            </w:r>
          </w:p>
        </w:tc>
        <w:tc>
          <w:tcPr>
            <w:tcW w:w="702" w:type="pct"/>
            <w:tcBorders>
              <w:top w:val="nil"/>
              <w:left w:val="nil"/>
              <w:bottom w:val="single" w:sz="4" w:space="0" w:color="auto"/>
              <w:right w:val="single" w:sz="4" w:space="0" w:color="auto"/>
            </w:tcBorders>
            <w:shd w:val="clear" w:color="auto" w:fill="auto"/>
            <w:vAlign w:val="center"/>
            <w:hideMark/>
          </w:tcPr>
          <w:p w:rsidR="00AC7F2F" w:rsidRPr="00826928" w:rsidRDefault="00AC7F2F" w:rsidP="00D34007">
            <w:pPr>
              <w:widowControl/>
              <w:jc w:val="center"/>
              <w:rPr>
                <w:rFonts w:ascii="宋体" w:hAnsi="宋体" w:cs="宋体"/>
                <w:kern w:val="0"/>
                <w:sz w:val="22"/>
              </w:rPr>
            </w:pPr>
            <w:r w:rsidRPr="00826928">
              <w:rPr>
                <w:rFonts w:ascii="宋体" w:hAnsi="宋体" w:cs="宋体" w:hint="eastAsia"/>
                <w:kern w:val="0"/>
                <w:sz w:val="22"/>
              </w:rPr>
              <w:t>40</w:t>
            </w:r>
          </w:p>
        </w:tc>
      </w:tr>
      <w:bookmarkEnd w:id="1"/>
    </w:tbl>
    <w:p w:rsidR="006174B9" w:rsidRDefault="006174B9">
      <w:pPr>
        <w:jc w:val="left"/>
        <w:rPr>
          <w:rFonts w:ascii="Times New Roman" w:eastAsia="方正仿宋_GBK" w:hAnsi="Times New Roman"/>
          <w:sz w:val="32"/>
          <w:szCs w:val="32"/>
        </w:rPr>
      </w:pPr>
    </w:p>
    <w:sectPr w:rsidR="006174B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F69" w:rsidRDefault="005B2F69">
      <w:r>
        <w:separator/>
      </w:r>
    </w:p>
  </w:endnote>
  <w:endnote w:type="continuationSeparator" w:id="0">
    <w:p w:rsidR="005B2F69" w:rsidRDefault="005B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087" w:usb1="288F4000" w:usb2="00000016" w:usb3="00000000" w:csb0="00100009"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4B9" w:rsidRDefault="005B2F69">
    <w:pPr>
      <w:pStyle w:val="a3"/>
    </w:pPr>
    <w:r>
      <w:rPr>
        <w:noProof/>
      </w:rPr>
      <mc:AlternateContent>
        <mc:Choice Requires="wps">
          <w:drawing>
            <wp:anchor distT="0" distB="0" distL="114297" distR="114297" simplePos="0" relativeHeight="20" behindDoc="0" locked="0" layoutInCell="1" hidden="0" allowOverlap="1">
              <wp:simplePos x="0" y="0"/>
              <wp:positionH relativeFrom="margin">
                <wp:align>center</wp:align>
              </wp:positionH>
              <wp:positionV relativeFrom="paragraph">
                <wp:posOffset>-19861300</wp:posOffset>
              </wp:positionV>
              <wp:extent cx="128778" cy="155193"/>
              <wp:effectExtent l="0" t="0" r="0" b="0"/>
              <wp:wrapNone/>
              <wp:docPr id="4" name="文本框 3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 cy="155193"/>
                      </a:xfrm>
                      <a:prstGeom prst="rect">
                        <a:avLst/>
                      </a:prstGeom>
                      <a:noFill/>
                      <a:ln w="9525" cap="flat" cmpd="sng">
                        <a:noFill/>
                        <a:prstDash val="solid"/>
                        <a:miter/>
                      </a:ln>
                    </wps:spPr>
                    <wps:txbx>
                      <w:txbxContent>
                        <w:p w:rsidR="006174B9" w:rsidRDefault="005B2F69">
                          <w:pPr>
                            <w:pStyle w:val="a3"/>
                            <w:rPr>
                              <w:sz w:val="20"/>
                              <w:szCs w:val="24"/>
                            </w:rPr>
                          </w:pPr>
                          <w:r>
                            <w:rPr>
                              <w:sz w:val="20"/>
                              <w:szCs w:val="24"/>
                            </w:rPr>
                            <w:fldChar w:fldCharType="begin"/>
                          </w:r>
                          <w:r>
                            <w:rPr>
                              <w:sz w:val="20"/>
                              <w:szCs w:val="24"/>
                            </w:rPr>
                            <w:instrText xml:space="preserve"> PAGE  \* MERGEFORMAT </w:instrText>
                          </w:r>
                          <w:r>
                            <w:rPr>
                              <w:sz w:val="20"/>
                              <w:szCs w:val="24"/>
                            </w:rPr>
                            <w:fldChar w:fldCharType="separate"/>
                          </w:r>
                          <w:r w:rsidR="00C50564">
                            <w:rPr>
                              <w:noProof/>
                              <w:sz w:val="20"/>
                              <w:szCs w:val="24"/>
                            </w:rPr>
                            <w:t>35</w:t>
                          </w:r>
                          <w:r>
                            <w:rPr>
                              <w:sz w:val="20"/>
                              <w:szCs w:val="24"/>
                            </w:rPr>
                            <w:fldChar w:fldCharType="end"/>
                          </w:r>
                        </w:p>
                      </w:txbxContent>
                    </wps:txbx>
                    <wps:bodyPr vert="horz" wrap="none" lIns="0" tIns="0" rIns="0" bIns="0" anchor="t" anchorCtr="0" upright="1">
                      <a:spAutoFit/>
                    </wps:bodyPr>
                  </wps:wsp>
                </a:graphicData>
              </a:graphic>
            </wp:anchor>
          </w:drawing>
        </mc:Choice>
        <mc:Fallback>
          <w:pict>
            <v:rect id="文本框 3 6" o:spid="_x0000_s1026" style="position:absolute;margin-left:0;margin-top:-1563.9pt;width:10.15pt;height:12.2pt;z-index:20;visibility:visible;mso-wrap-style:none;mso-wrap-distance-left:3.17492mm;mso-wrap-distance-top:0;mso-wrap-distance-right:3.17492mm;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rN+wEAAMEDAAAOAAAAZHJzL2Uyb0RvYy54bWysU0uOEzEQ3SNxB8t70ukMmU8rnREiGoQ0&#10;gpEGDlBxu9MW/snlpHs4ANyAFRv2nCvnoOxOMgPsEBur7Cq/qvf8vLgejGY7GVA5W/NyMuVMWuEa&#10;ZTc1//jh5sUlZxjBNqCdlTV/kMivl8+fLXpfyZnrnG5kYARisep9zbsYfVUUKDppACfOS0vJ1gUD&#10;kbZhUzQBekI3uphNp+dF70LjgxMSkU5XY5IvM37bShHfty3KyHTNabaY15DXdVqL5QKqTQDfKXEY&#10;A/5hCgPKUtMT1AoisG1Qf0EZJYJD18aJcKZwbauEzByITTn9g819B15mLiQO+pNM+P9gxbvdXWCq&#10;qflLziwYeqL9t6/77z/3P76wM3aeBOo9VlR37+9Cooj+1olPSInit0za4KFmaINJtUSQDVnth5Pa&#10;cohM0GE5u7y4IHsISpXzeXl1lpoVUB0v+4DxjXSGpaDmgR4zawy7W4xj6bEk9bLuRmlN51Bpy/qa&#10;X81nc4IHslWrIVJoPBFFu8kwT+oTzAqwYzsgn6DTqhmdYVSUYWyl7YHwyDGxjcN6oGQK1655ICHp&#10;J9CknQufOevJVTW3ZHvO9FtLj5YMeAzCMVgfA7CCLtacBh3D13E06tYHtekIt8xzo3+1jcQ1S/DY&#10;+zAd+SSLePB0MuLTfa56/HnLXwAAAP//AwBQSwMEFAAGAAgAAAAhAK64TWjgAAAACwEAAA8AAABk&#10;cnMvZG93bnJldi54bWxMj8FOwzAMhu9IvENkJG5b0nYaU2k6DQQSp0ktjHPWeG1F41RJtrVvT+AC&#10;R9u/fn9fsZ3MwC7ofG9JQrIUwJAaq3tqJXy8vy42wHxQpNVgCSXM6GFb3t4UKtf2ShVe6tCyWEI+&#10;VxK6EMacc990aJRf2hEp3k7WGRXi6FqunbrGcjPwVIg1N6qn+KFTIz532HzVZyOhqpv5szqsXnZP&#10;yeG0nt1+M77tpby/m3aPwAJO4S8MP/gRHcrIdLRn0p4NEqJIkLDIkvQhKsRAKjJgx9+VyFbAy4L/&#10;dyi/AQAA//8DAFBLAQItABQABgAIAAAAIQC2gziS/gAAAOEBAAATAAAAAAAAAAAAAAAAAAAAAABb&#10;Q29udGVudF9UeXBlc10ueG1sUEsBAi0AFAAGAAgAAAAhADj9If/WAAAAlAEAAAsAAAAAAAAAAAAA&#10;AAAALwEAAF9yZWxzLy5yZWxzUEsBAi0AFAAGAAgAAAAhACgcas37AQAAwQMAAA4AAAAAAAAAAAAA&#10;AAAALgIAAGRycy9lMm9Eb2MueG1sUEsBAi0AFAAGAAgAAAAhAK64TWjgAAAACwEAAA8AAAAAAAAA&#10;AAAAAAAAVQQAAGRycy9kb3ducmV2LnhtbFBLBQYAAAAABAAEAPMAAABiBQAAAAA=&#10;" filled="f" stroked="f">
              <v:path arrowok="t"/>
              <v:textbox style="mso-fit-shape-to-text:t" inset="0,0,0,0">
                <w:txbxContent>
                  <w:p w:rsidR="006174B9" w:rsidRDefault="005B2F69">
                    <w:pPr>
                      <w:pStyle w:val="a3"/>
                      <w:rPr>
                        <w:sz w:val="20"/>
                        <w:szCs w:val="24"/>
                      </w:rPr>
                    </w:pPr>
                    <w:r>
                      <w:rPr>
                        <w:sz w:val="20"/>
                        <w:szCs w:val="24"/>
                      </w:rPr>
                      <w:fldChar w:fldCharType="begin"/>
                    </w:r>
                    <w:r>
                      <w:rPr>
                        <w:sz w:val="20"/>
                        <w:szCs w:val="24"/>
                      </w:rPr>
                      <w:instrText xml:space="preserve"> PAGE  \* MERGEFORMAT </w:instrText>
                    </w:r>
                    <w:r>
                      <w:rPr>
                        <w:sz w:val="20"/>
                        <w:szCs w:val="24"/>
                      </w:rPr>
                      <w:fldChar w:fldCharType="separate"/>
                    </w:r>
                    <w:r w:rsidR="00C50564">
                      <w:rPr>
                        <w:noProof/>
                        <w:sz w:val="20"/>
                        <w:szCs w:val="24"/>
                      </w:rPr>
                      <w:t>35</w:t>
                    </w:r>
                    <w:r>
                      <w:rPr>
                        <w:sz w:val="20"/>
                        <w:szCs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F69" w:rsidRDefault="005B2F69">
      <w:r>
        <w:separator/>
      </w:r>
    </w:p>
  </w:footnote>
  <w:footnote w:type="continuationSeparator" w:id="0">
    <w:p w:rsidR="005B2F69" w:rsidRDefault="005B2F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noPunctuationKerning/>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NjgzMTdhNDA0ZGNiMmM4ZmMwMjQ4MjZlOTc3MmMwMjUifQ=="/>
  </w:docVars>
  <w:rsids>
    <w:rsidRoot w:val="006174B9"/>
    <w:rsid w:val="00347E1E"/>
    <w:rsid w:val="005B2F69"/>
    <w:rsid w:val="006174B9"/>
    <w:rsid w:val="00AC7F2F"/>
    <w:rsid w:val="00C50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2A6C"/>
  <w15:docId w15:val="{1454462D-08D2-46D0-95DE-1C7B8683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bCs/>
      <w:kern w:val="44"/>
      <w:sz w:val="44"/>
      <w:szCs w:val="44"/>
    </w:rPr>
  </w:style>
  <w:style w:type="paragraph" w:styleId="2">
    <w:name w:val="heading 2"/>
    <w:basedOn w:val="a"/>
    <w:next w:val="a"/>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a"/>
    <w:next w:val="a"/>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7"/>
      </w:tabs>
      <w:snapToGrid w:val="0"/>
      <w:jc w:val="left"/>
    </w:pPr>
    <w:rPr>
      <w:sz w:val="18"/>
    </w:rPr>
  </w:style>
  <w:style w:type="paragraph" w:styleId="a4">
    <w:name w:val="header"/>
    <w:basedOn w:val="a"/>
    <w:pPr>
      <w:tabs>
        <w:tab w:val="center" w:pos="4153"/>
        <w:tab w:val="right" w:pos="8306"/>
      </w:tabs>
      <w:snapToGrid w:val="0"/>
    </w:pPr>
    <w:rPr>
      <w:sz w:val="18"/>
    </w:rPr>
  </w:style>
  <w:style w:type="character" w:styleId="a5">
    <w:name w:val="page number"/>
    <w:basedOn w:val="a0"/>
  </w:style>
  <w:style w:type="paragraph" w:customStyle="1" w:styleId="410">
    <w:name w:val="样式 4 10 磅"/>
    <w:basedOn w:val="a"/>
    <w:rPr>
      <w:rFonts w:ascii="Times New Roman" w:hAnsi="Times New Roman" w:cs="Times New Roman"/>
      <w:szCs w:val="21"/>
    </w:rPr>
  </w:style>
  <w:style w:type="paragraph" w:customStyle="1" w:styleId="5110">
    <w:name w:val="样式 51 10 磅"/>
    <w:basedOn w:val="a"/>
    <w:rPr>
      <w:rFonts w:ascii="Times New Roman" w:hAnsi="Times New Roman" w:cs="Times New Roman"/>
      <w:szCs w:val="21"/>
    </w:rPr>
  </w:style>
  <w:style w:type="paragraph" w:customStyle="1" w:styleId="3610">
    <w:name w:val="样式 36 10 磅"/>
    <w:basedOn w:val="a"/>
    <w:rPr>
      <w:rFonts w:ascii="Times New Roman" w:hAnsi="Times New Roman" w:cs="Times New Roman"/>
      <w:szCs w:val="21"/>
    </w:rPr>
  </w:style>
  <w:style w:type="paragraph" w:customStyle="1" w:styleId="4910">
    <w:name w:val="样式 49 10 磅"/>
    <w:basedOn w:val="a"/>
    <w:rPr>
      <w:rFonts w:ascii="Times New Roman" w:hAnsi="Times New Roman" w:cs="Times New Roman"/>
      <w:szCs w:val="21"/>
    </w:rPr>
  </w:style>
  <w:style w:type="character" w:customStyle="1" w:styleId="font41">
    <w:name w:val="font41"/>
    <w:basedOn w:val="a0"/>
    <w:rPr>
      <w:rFonts w:ascii="宋体" w:eastAsia="宋体" w:cs="宋体"/>
      <w:color w:val="000000"/>
      <w:sz w:val="22"/>
      <w:szCs w:val="22"/>
      <w:u w:val="none"/>
    </w:rPr>
  </w:style>
  <w:style w:type="character" w:customStyle="1" w:styleId="font61">
    <w:name w:val="font61"/>
    <w:basedOn w:val="a0"/>
    <w:rPr>
      <w:rFonts w:ascii="宋体" w:eastAsia="宋体" w:cs="宋体"/>
      <w:color w:val="000000"/>
      <w:sz w:val="22"/>
      <w:szCs w:val="22"/>
      <w:u w:val="none"/>
    </w:rPr>
  </w:style>
  <w:style w:type="character" w:customStyle="1" w:styleId="font71">
    <w:name w:val="font71"/>
    <w:basedOn w:val="a0"/>
    <w:rPr>
      <w:rFonts w:ascii="Times New Roman" w:hAnsi="Times New Roman" w:cs="Times New Roman"/>
      <w:color w:val="000000"/>
      <w:sz w:val="22"/>
      <w:szCs w:val="22"/>
      <w:u w:val="none"/>
    </w:rPr>
  </w:style>
  <w:style w:type="character" w:customStyle="1" w:styleId="font51">
    <w:name w:val="font51"/>
    <w:basedOn w:val="a0"/>
    <w:rPr>
      <w:rFonts w:ascii="宋体" w:eastAsia="宋体" w:cs="宋体"/>
      <w:color w:val="000000"/>
      <w:sz w:val="22"/>
      <w:szCs w:val="22"/>
      <w:u w:val="none"/>
    </w:rPr>
  </w:style>
  <w:style w:type="character" w:customStyle="1" w:styleId="font01">
    <w:name w:val="font01"/>
    <w:basedOn w:val="a0"/>
    <w:rPr>
      <w:rFonts w:ascii="宋体" w:eastAsia="宋体" w:cs="宋体"/>
      <w:color w:val="000000"/>
      <w:sz w:val="22"/>
      <w:szCs w:val="22"/>
      <w:u w:val="none"/>
    </w:rPr>
  </w:style>
  <w:style w:type="paragraph" w:customStyle="1" w:styleId="210">
    <w:name w:val="样式 2 10 磅"/>
    <w:basedOn w:val="a"/>
    <w:rPr>
      <w:rFonts w:ascii="Times New Roman" w:hAnsi="Times New Roman" w:cs="Times New Roman"/>
      <w:szCs w:val="21"/>
    </w:rPr>
  </w:style>
  <w:style w:type="paragraph" w:customStyle="1" w:styleId="110">
    <w:name w:val="样式 1 10 磅"/>
    <w:basedOn w:val="a"/>
    <w:rPr>
      <w:rFonts w:ascii="Times New Roman" w:hAnsi="Times New Roman" w:cs="Times New Roman"/>
      <w:szCs w:val="21"/>
    </w:rPr>
  </w:style>
  <w:style w:type="paragraph" w:styleId="a6">
    <w:name w:val="Balloon Text"/>
    <w:basedOn w:val="a"/>
    <w:rPr>
      <w:sz w:val="18"/>
      <w:szCs w:val="18"/>
    </w:rPr>
  </w:style>
  <w:style w:type="paragraph" w:customStyle="1" w:styleId="10">
    <w:name w:val="样式 10 磅"/>
    <w:pPr>
      <w:widowControl w:val="0"/>
      <w:jc w:val="both"/>
    </w:pPr>
    <w:rPr>
      <w:rFonts w:ascii="Calibri" w:hAnsi="Calibri" w:cs="Arial"/>
      <w:kern w:val="2"/>
      <w:sz w:val="21"/>
      <w:szCs w:val="22"/>
    </w:rPr>
  </w:style>
  <w:style w:type="paragraph" w:customStyle="1" w:styleId="310">
    <w:name w:val="样式 3 10 磅"/>
    <w:pPr>
      <w:widowControl w:val="0"/>
      <w:jc w:val="both"/>
    </w:pPr>
    <w:rPr>
      <w:rFonts w:ascii="Calibri" w:hAnsi="Calibri" w:cs="Arial"/>
      <w:kern w:val="2"/>
      <w:sz w:val="21"/>
      <w:szCs w:val="22"/>
    </w:rPr>
  </w:style>
  <w:style w:type="paragraph" w:customStyle="1" w:styleId="510">
    <w:name w:val="样式 5 10 磅"/>
    <w:pPr>
      <w:widowControl w:val="0"/>
      <w:jc w:val="both"/>
    </w:pPr>
    <w:rPr>
      <w:rFonts w:ascii="Calibri" w:hAnsi="Calibri" w:cs="Arial"/>
      <w:kern w:val="2"/>
      <w:sz w:val="21"/>
      <w:szCs w:val="22"/>
    </w:rPr>
  </w:style>
  <w:style w:type="paragraph" w:customStyle="1" w:styleId="610">
    <w:name w:val="样式 6 10 磅"/>
    <w:pPr>
      <w:widowControl w:val="0"/>
      <w:jc w:val="both"/>
    </w:pPr>
    <w:rPr>
      <w:rFonts w:ascii="Calibri" w:hAnsi="Calibri" w:cs="Arial"/>
      <w:kern w:val="2"/>
      <w:sz w:val="21"/>
      <w:szCs w:val="22"/>
    </w:rPr>
  </w:style>
  <w:style w:type="paragraph" w:customStyle="1" w:styleId="710">
    <w:name w:val="样式 7 10 磅"/>
    <w:pPr>
      <w:widowControl w:val="0"/>
      <w:jc w:val="both"/>
    </w:pPr>
    <w:rPr>
      <w:rFonts w:ascii="Calibri" w:hAnsi="Calibri" w:cs="Arial"/>
      <w:kern w:val="2"/>
      <w:sz w:val="21"/>
      <w:szCs w:val="22"/>
    </w:rPr>
  </w:style>
  <w:style w:type="paragraph" w:customStyle="1" w:styleId="810">
    <w:name w:val="样式 8 10 磅"/>
    <w:pPr>
      <w:widowControl w:val="0"/>
      <w:jc w:val="both"/>
    </w:pPr>
    <w:rPr>
      <w:rFonts w:ascii="Calibri" w:hAnsi="Calibri" w:cs="Arial"/>
      <w:kern w:val="2"/>
      <w:sz w:val="21"/>
      <w:szCs w:val="22"/>
    </w:rPr>
  </w:style>
  <w:style w:type="paragraph" w:customStyle="1" w:styleId="910">
    <w:name w:val="样式 9 10 磅"/>
    <w:pPr>
      <w:widowControl w:val="0"/>
      <w:jc w:val="both"/>
    </w:pPr>
    <w:rPr>
      <w:rFonts w:ascii="Calibri" w:hAnsi="Calibri" w:cs="Arial"/>
      <w:kern w:val="2"/>
      <w:sz w:val="21"/>
      <w:szCs w:val="22"/>
    </w:rPr>
  </w:style>
  <w:style w:type="paragraph" w:customStyle="1" w:styleId="1010">
    <w:name w:val="样式 10 10 磅"/>
    <w:pPr>
      <w:widowControl w:val="0"/>
      <w:jc w:val="both"/>
    </w:pPr>
    <w:rPr>
      <w:rFonts w:ascii="Calibri" w:hAnsi="Calibri" w:cs="Arial"/>
      <w:kern w:val="2"/>
      <w:sz w:val="21"/>
      <w:szCs w:val="22"/>
    </w:rPr>
  </w:style>
  <w:style w:type="paragraph" w:customStyle="1" w:styleId="1110">
    <w:name w:val="样式 11 10 磅"/>
    <w:pPr>
      <w:widowControl w:val="0"/>
      <w:jc w:val="both"/>
    </w:pPr>
    <w:rPr>
      <w:rFonts w:ascii="Calibri" w:hAnsi="Calibri" w:cs="Arial"/>
      <w:kern w:val="2"/>
      <w:sz w:val="21"/>
      <w:szCs w:val="22"/>
    </w:rPr>
  </w:style>
  <w:style w:type="paragraph" w:customStyle="1" w:styleId="1210">
    <w:name w:val="样式 12 10 磅"/>
    <w:pPr>
      <w:widowControl w:val="0"/>
      <w:jc w:val="both"/>
    </w:pPr>
    <w:rPr>
      <w:rFonts w:ascii="Calibri" w:hAnsi="Calibri" w:cs="Arial"/>
      <w:kern w:val="2"/>
      <w:sz w:val="21"/>
      <w:szCs w:val="22"/>
    </w:rPr>
  </w:style>
  <w:style w:type="paragraph" w:customStyle="1" w:styleId="1310">
    <w:name w:val="样式 13 10 磅"/>
    <w:pPr>
      <w:widowControl w:val="0"/>
      <w:jc w:val="both"/>
    </w:pPr>
    <w:rPr>
      <w:rFonts w:ascii="Calibri" w:hAnsi="Calibri" w:cs="Arial"/>
      <w:kern w:val="2"/>
      <w:sz w:val="21"/>
      <w:szCs w:val="22"/>
    </w:rPr>
  </w:style>
  <w:style w:type="paragraph" w:customStyle="1" w:styleId="1410">
    <w:name w:val="样式 14 10 磅"/>
    <w:pPr>
      <w:widowControl w:val="0"/>
      <w:jc w:val="both"/>
    </w:pPr>
    <w:rPr>
      <w:rFonts w:ascii="Calibri" w:hAnsi="Calibri" w:cs="Arial"/>
      <w:kern w:val="2"/>
      <w:sz w:val="21"/>
      <w:szCs w:val="22"/>
    </w:rPr>
  </w:style>
  <w:style w:type="paragraph" w:customStyle="1" w:styleId="1510">
    <w:name w:val="样式 15 10 磅"/>
    <w:pPr>
      <w:widowControl w:val="0"/>
      <w:jc w:val="both"/>
    </w:pPr>
    <w:rPr>
      <w:rFonts w:ascii="Calibri" w:hAnsi="Calibri" w:cs="Arial"/>
      <w:kern w:val="2"/>
      <w:sz w:val="21"/>
      <w:szCs w:val="22"/>
    </w:rPr>
  </w:style>
  <w:style w:type="paragraph" w:customStyle="1" w:styleId="1610">
    <w:name w:val="样式 16 10 磅"/>
    <w:pPr>
      <w:widowControl w:val="0"/>
      <w:jc w:val="both"/>
    </w:pPr>
    <w:rPr>
      <w:rFonts w:ascii="Calibri" w:hAnsi="Calibri" w:cs="Arial"/>
      <w:kern w:val="2"/>
      <w:sz w:val="21"/>
      <w:szCs w:val="22"/>
    </w:rPr>
  </w:style>
  <w:style w:type="paragraph" w:customStyle="1" w:styleId="1710">
    <w:name w:val="样式 17 10 磅"/>
    <w:pPr>
      <w:widowControl w:val="0"/>
      <w:jc w:val="both"/>
    </w:pPr>
    <w:rPr>
      <w:rFonts w:ascii="Calibri" w:hAnsi="Calibri" w:cs="Arial"/>
      <w:kern w:val="2"/>
      <w:sz w:val="21"/>
      <w:szCs w:val="22"/>
    </w:rPr>
  </w:style>
  <w:style w:type="paragraph" w:customStyle="1" w:styleId="1810">
    <w:name w:val="样式 18 10 磅"/>
    <w:pPr>
      <w:widowControl w:val="0"/>
      <w:jc w:val="both"/>
    </w:pPr>
    <w:rPr>
      <w:rFonts w:ascii="Calibri" w:hAnsi="Calibri" w:cs="Arial"/>
      <w:kern w:val="2"/>
      <w:sz w:val="21"/>
      <w:szCs w:val="22"/>
    </w:rPr>
  </w:style>
  <w:style w:type="paragraph" w:customStyle="1" w:styleId="1910">
    <w:name w:val="样式 19 10 磅"/>
    <w:pPr>
      <w:widowControl w:val="0"/>
      <w:jc w:val="both"/>
    </w:pPr>
    <w:rPr>
      <w:rFonts w:ascii="Calibri" w:hAnsi="Calibri" w:cs="Arial"/>
      <w:kern w:val="2"/>
      <w:sz w:val="21"/>
      <w:szCs w:val="22"/>
    </w:rPr>
  </w:style>
  <w:style w:type="paragraph" w:customStyle="1" w:styleId="2010">
    <w:name w:val="样式 20 10 磅"/>
    <w:pPr>
      <w:widowControl w:val="0"/>
      <w:jc w:val="both"/>
    </w:pPr>
    <w:rPr>
      <w:rFonts w:ascii="Calibri" w:hAnsi="Calibri" w:cs="Arial"/>
      <w:kern w:val="2"/>
      <w:sz w:val="21"/>
      <w:szCs w:val="22"/>
    </w:rPr>
  </w:style>
  <w:style w:type="paragraph" w:customStyle="1" w:styleId="2110">
    <w:name w:val="样式 21 10 磅"/>
    <w:pPr>
      <w:widowControl w:val="0"/>
      <w:jc w:val="both"/>
    </w:pPr>
    <w:rPr>
      <w:rFonts w:ascii="Calibri" w:hAnsi="Calibri" w:cs="Arial"/>
      <w:kern w:val="2"/>
      <w:sz w:val="21"/>
      <w:szCs w:val="22"/>
    </w:rPr>
  </w:style>
  <w:style w:type="paragraph" w:customStyle="1" w:styleId="2210">
    <w:name w:val="样式 22 10 磅"/>
    <w:pPr>
      <w:widowControl w:val="0"/>
      <w:jc w:val="both"/>
    </w:pPr>
    <w:rPr>
      <w:rFonts w:ascii="Calibri" w:hAnsi="Calibri" w:cs="Arial"/>
      <w:kern w:val="2"/>
      <w:sz w:val="21"/>
      <w:szCs w:val="22"/>
    </w:rPr>
  </w:style>
  <w:style w:type="paragraph" w:customStyle="1" w:styleId="2310">
    <w:name w:val="样式 23 10 磅"/>
    <w:pPr>
      <w:widowControl w:val="0"/>
      <w:jc w:val="both"/>
    </w:pPr>
    <w:rPr>
      <w:rFonts w:ascii="Calibri" w:hAnsi="Calibri" w:cs="Arial"/>
      <w:kern w:val="2"/>
      <w:sz w:val="21"/>
      <w:szCs w:val="22"/>
    </w:rPr>
  </w:style>
  <w:style w:type="paragraph" w:customStyle="1" w:styleId="2410">
    <w:name w:val="样式 24 10 磅"/>
    <w:pPr>
      <w:widowControl w:val="0"/>
      <w:jc w:val="both"/>
    </w:pPr>
    <w:rPr>
      <w:rFonts w:ascii="Calibri" w:hAnsi="Calibri" w:cs="Arial"/>
      <w:kern w:val="2"/>
      <w:sz w:val="21"/>
      <w:szCs w:val="22"/>
    </w:rPr>
  </w:style>
  <w:style w:type="paragraph" w:customStyle="1" w:styleId="2510">
    <w:name w:val="样式 25 10 磅"/>
    <w:pPr>
      <w:widowControl w:val="0"/>
      <w:jc w:val="both"/>
    </w:pPr>
    <w:rPr>
      <w:rFonts w:ascii="Calibri" w:hAnsi="Calibri" w:cs="Arial"/>
      <w:kern w:val="2"/>
      <w:sz w:val="21"/>
      <w:szCs w:val="22"/>
    </w:rPr>
  </w:style>
  <w:style w:type="paragraph" w:customStyle="1" w:styleId="2610">
    <w:name w:val="样式 26 10 磅"/>
    <w:pPr>
      <w:widowControl w:val="0"/>
      <w:jc w:val="both"/>
    </w:pPr>
    <w:rPr>
      <w:rFonts w:ascii="Calibri" w:hAnsi="Calibri" w:cs="Arial"/>
      <w:kern w:val="2"/>
      <w:sz w:val="21"/>
      <w:szCs w:val="22"/>
    </w:rPr>
  </w:style>
  <w:style w:type="paragraph" w:customStyle="1" w:styleId="2710">
    <w:name w:val="样式 27 10 磅"/>
    <w:pPr>
      <w:widowControl w:val="0"/>
      <w:jc w:val="both"/>
    </w:pPr>
    <w:rPr>
      <w:rFonts w:ascii="Calibri" w:hAnsi="Calibri" w:cs="Arial"/>
      <w:kern w:val="2"/>
      <w:sz w:val="21"/>
      <w:szCs w:val="22"/>
    </w:rPr>
  </w:style>
  <w:style w:type="paragraph" w:customStyle="1" w:styleId="2810">
    <w:name w:val="样式 28 10 磅"/>
    <w:pPr>
      <w:widowControl w:val="0"/>
      <w:jc w:val="both"/>
    </w:pPr>
    <w:rPr>
      <w:rFonts w:ascii="Calibri" w:hAnsi="Calibri" w:cs="Arial"/>
      <w:kern w:val="2"/>
      <w:sz w:val="21"/>
      <w:szCs w:val="22"/>
    </w:rPr>
  </w:style>
  <w:style w:type="paragraph" w:customStyle="1" w:styleId="2910">
    <w:name w:val="样式 29 10 磅"/>
    <w:pPr>
      <w:widowControl w:val="0"/>
      <w:jc w:val="both"/>
    </w:pPr>
    <w:rPr>
      <w:rFonts w:ascii="Calibri" w:hAnsi="Calibri" w:cs="Arial"/>
      <w:kern w:val="2"/>
      <w:sz w:val="21"/>
      <w:szCs w:val="22"/>
    </w:rPr>
  </w:style>
  <w:style w:type="paragraph" w:customStyle="1" w:styleId="3010">
    <w:name w:val="样式 30 10 磅"/>
    <w:pPr>
      <w:widowControl w:val="0"/>
      <w:jc w:val="both"/>
    </w:pPr>
    <w:rPr>
      <w:rFonts w:ascii="Calibri" w:hAnsi="Calibri" w:cs="Arial"/>
      <w:kern w:val="2"/>
      <w:sz w:val="21"/>
      <w:szCs w:val="22"/>
    </w:rPr>
  </w:style>
  <w:style w:type="paragraph" w:customStyle="1" w:styleId="3110">
    <w:name w:val="样式 31 10 磅"/>
    <w:pPr>
      <w:widowControl w:val="0"/>
      <w:jc w:val="both"/>
    </w:pPr>
    <w:rPr>
      <w:rFonts w:ascii="Calibri" w:hAnsi="Calibri" w:cs="Arial"/>
      <w:kern w:val="2"/>
      <w:sz w:val="21"/>
      <w:szCs w:val="22"/>
    </w:rPr>
  </w:style>
  <w:style w:type="paragraph" w:customStyle="1" w:styleId="3210">
    <w:name w:val="样式 32 10 磅"/>
    <w:pPr>
      <w:widowControl w:val="0"/>
      <w:jc w:val="both"/>
    </w:pPr>
    <w:rPr>
      <w:rFonts w:ascii="Calibri" w:hAnsi="Calibri" w:cs="Arial"/>
      <w:kern w:val="2"/>
      <w:sz w:val="21"/>
      <w:szCs w:val="22"/>
    </w:rPr>
  </w:style>
  <w:style w:type="paragraph" w:customStyle="1" w:styleId="3310">
    <w:name w:val="样式 33 10 磅"/>
    <w:pPr>
      <w:widowControl w:val="0"/>
      <w:jc w:val="both"/>
    </w:pPr>
    <w:rPr>
      <w:rFonts w:ascii="Calibri" w:hAnsi="Calibri" w:cs="Arial"/>
      <w:kern w:val="2"/>
      <w:sz w:val="21"/>
      <w:szCs w:val="22"/>
    </w:rPr>
  </w:style>
  <w:style w:type="paragraph" w:customStyle="1" w:styleId="3410">
    <w:name w:val="样式 34 10 磅"/>
    <w:pPr>
      <w:widowControl w:val="0"/>
      <w:jc w:val="both"/>
    </w:pPr>
    <w:rPr>
      <w:rFonts w:ascii="Calibri" w:hAnsi="Calibri" w:cs="Arial"/>
      <w:kern w:val="2"/>
      <w:sz w:val="21"/>
      <w:szCs w:val="22"/>
    </w:rPr>
  </w:style>
  <w:style w:type="paragraph" w:customStyle="1" w:styleId="3510">
    <w:name w:val="样式 35 10 磅"/>
    <w:pPr>
      <w:widowControl w:val="0"/>
      <w:jc w:val="both"/>
    </w:pPr>
    <w:rPr>
      <w:rFonts w:ascii="Calibri" w:hAnsi="Calibri" w:cs="Arial"/>
      <w:kern w:val="2"/>
      <w:sz w:val="21"/>
      <w:szCs w:val="22"/>
    </w:rPr>
  </w:style>
  <w:style w:type="paragraph" w:customStyle="1" w:styleId="3710">
    <w:name w:val="样式 37 10 磅"/>
    <w:pPr>
      <w:widowControl w:val="0"/>
      <w:jc w:val="both"/>
    </w:pPr>
    <w:rPr>
      <w:rFonts w:ascii="Calibri" w:hAnsi="Calibri" w:cs="Arial"/>
      <w:kern w:val="2"/>
      <w:sz w:val="21"/>
      <w:szCs w:val="22"/>
    </w:rPr>
  </w:style>
  <w:style w:type="paragraph" w:customStyle="1" w:styleId="3810">
    <w:name w:val="样式 38 10 磅"/>
    <w:pPr>
      <w:widowControl w:val="0"/>
      <w:jc w:val="both"/>
    </w:pPr>
    <w:rPr>
      <w:rFonts w:ascii="Calibri" w:hAnsi="Calibri" w:cs="Arial"/>
      <w:kern w:val="2"/>
      <w:sz w:val="21"/>
      <w:szCs w:val="22"/>
    </w:rPr>
  </w:style>
  <w:style w:type="paragraph" w:customStyle="1" w:styleId="3910">
    <w:name w:val="样式 39 10 磅"/>
    <w:pPr>
      <w:widowControl w:val="0"/>
      <w:jc w:val="both"/>
    </w:pPr>
    <w:rPr>
      <w:rFonts w:ascii="Calibri" w:hAnsi="Calibri" w:cs="Arial"/>
      <w:kern w:val="2"/>
      <w:sz w:val="21"/>
      <w:szCs w:val="22"/>
    </w:rPr>
  </w:style>
  <w:style w:type="paragraph" w:customStyle="1" w:styleId="4010">
    <w:name w:val="样式 40 10 磅"/>
    <w:pPr>
      <w:widowControl w:val="0"/>
      <w:jc w:val="both"/>
    </w:pPr>
    <w:rPr>
      <w:rFonts w:ascii="Calibri" w:hAnsi="Calibri" w:cs="Arial"/>
      <w:kern w:val="2"/>
      <w:sz w:val="21"/>
      <w:szCs w:val="22"/>
    </w:rPr>
  </w:style>
  <w:style w:type="paragraph" w:customStyle="1" w:styleId="4110">
    <w:name w:val="样式 41 10 磅"/>
    <w:pPr>
      <w:widowControl w:val="0"/>
      <w:jc w:val="both"/>
    </w:pPr>
    <w:rPr>
      <w:rFonts w:ascii="Calibri" w:hAnsi="Calibri" w:cs="Arial"/>
      <w:kern w:val="2"/>
      <w:sz w:val="21"/>
      <w:szCs w:val="22"/>
    </w:rPr>
  </w:style>
  <w:style w:type="paragraph" w:customStyle="1" w:styleId="4210">
    <w:name w:val="样式 42 10 磅"/>
    <w:pPr>
      <w:widowControl w:val="0"/>
      <w:jc w:val="both"/>
    </w:pPr>
    <w:rPr>
      <w:rFonts w:ascii="Calibri" w:hAnsi="Calibri" w:cs="Arial"/>
      <w:kern w:val="2"/>
      <w:sz w:val="21"/>
      <w:szCs w:val="22"/>
    </w:rPr>
  </w:style>
  <w:style w:type="paragraph" w:customStyle="1" w:styleId="4310">
    <w:name w:val="样式 43 10 磅"/>
    <w:pPr>
      <w:widowControl w:val="0"/>
      <w:jc w:val="both"/>
    </w:pPr>
    <w:rPr>
      <w:rFonts w:ascii="Calibri" w:hAnsi="Calibri" w:cs="Arial"/>
      <w:kern w:val="2"/>
      <w:sz w:val="21"/>
      <w:szCs w:val="22"/>
    </w:rPr>
  </w:style>
  <w:style w:type="paragraph" w:customStyle="1" w:styleId="4410">
    <w:name w:val="样式 44 10 磅"/>
    <w:pPr>
      <w:widowControl w:val="0"/>
      <w:jc w:val="both"/>
    </w:pPr>
    <w:rPr>
      <w:rFonts w:ascii="Calibri" w:hAnsi="Calibri" w:cs="Arial"/>
      <w:kern w:val="2"/>
      <w:sz w:val="21"/>
      <w:szCs w:val="22"/>
    </w:rPr>
  </w:style>
  <w:style w:type="paragraph" w:customStyle="1" w:styleId="4510">
    <w:name w:val="样式 45 10 磅"/>
    <w:basedOn w:val="a"/>
    <w:rPr>
      <w:rFonts w:ascii="Times New Roman" w:hAnsi="Times New Roman" w:cs="Times New Roman"/>
      <w:szCs w:val="21"/>
    </w:rPr>
  </w:style>
  <w:style w:type="paragraph" w:customStyle="1" w:styleId="4610">
    <w:name w:val="样式 46 10 磅"/>
    <w:basedOn w:val="a"/>
    <w:rPr>
      <w:rFonts w:ascii="Times New Roman" w:hAnsi="Times New Roman" w:cs="Times New Roman"/>
      <w:szCs w:val="21"/>
    </w:rPr>
  </w:style>
  <w:style w:type="paragraph" w:customStyle="1" w:styleId="4710">
    <w:name w:val="样式 47 10 磅"/>
    <w:basedOn w:val="a"/>
    <w:rPr>
      <w:rFonts w:ascii="Times New Roman" w:hAnsi="Times New Roman" w:cs="Times New Roman"/>
      <w:szCs w:val="21"/>
    </w:rPr>
  </w:style>
  <w:style w:type="paragraph" w:customStyle="1" w:styleId="4810">
    <w:name w:val="样式 48 10 磅"/>
    <w:pPr>
      <w:widowControl w:val="0"/>
      <w:jc w:val="both"/>
    </w:pPr>
    <w:rPr>
      <w:rFonts w:ascii="Calibri" w:hAnsi="Calibri" w:cs="Arial"/>
      <w:kern w:val="2"/>
      <w:sz w:val="21"/>
      <w:szCs w:val="22"/>
    </w:rPr>
  </w:style>
  <w:style w:type="paragraph" w:customStyle="1" w:styleId="5010">
    <w:name w:val="样式 50 10 磅"/>
    <w:pPr>
      <w:widowControl w:val="0"/>
      <w:jc w:val="both"/>
    </w:pPr>
    <w:rPr>
      <w:rFonts w:ascii="Calibri" w:hAnsi="Calibri" w:cs="Arial"/>
      <w:kern w:val="2"/>
      <w:sz w:val="21"/>
      <w:szCs w:val="22"/>
    </w:rPr>
  </w:style>
  <w:style w:type="paragraph" w:customStyle="1" w:styleId="5210">
    <w:name w:val="样式 52 10 磅"/>
    <w:pPr>
      <w:widowControl w:val="0"/>
      <w:jc w:val="both"/>
    </w:pPr>
    <w:rPr>
      <w:rFonts w:ascii="Calibri" w:hAnsi="Calibri" w:cs="Arial"/>
      <w:kern w:val="2"/>
      <w:sz w:val="21"/>
      <w:szCs w:val="22"/>
    </w:rPr>
  </w:style>
  <w:style w:type="paragraph" w:customStyle="1" w:styleId="5310">
    <w:name w:val="样式 53 10 磅"/>
    <w:pPr>
      <w:widowControl w:val="0"/>
      <w:jc w:val="both"/>
    </w:pPr>
    <w:rPr>
      <w:rFonts w:ascii="Calibri" w:hAnsi="Calibri" w:cs="Arial"/>
      <w:kern w:val="2"/>
      <w:sz w:val="21"/>
      <w:szCs w:val="22"/>
    </w:rPr>
  </w:style>
  <w:style w:type="paragraph" w:customStyle="1" w:styleId="5410">
    <w:name w:val="样式 54 10 磅"/>
    <w:pPr>
      <w:widowControl w:val="0"/>
      <w:jc w:val="both"/>
    </w:pPr>
    <w:rPr>
      <w:rFonts w:ascii="Calibri" w:hAnsi="Calibri" w:cs="Arial"/>
      <w:kern w:val="2"/>
      <w:sz w:val="21"/>
      <w:szCs w:val="22"/>
    </w:rPr>
  </w:style>
  <w:style w:type="paragraph" w:customStyle="1" w:styleId="5510">
    <w:name w:val="样式 55 10 磅"/>
    <w:pPr>
      <w:widowControl w:val="0"/>
      <w:jc w:val="both"/>
    </w:pPr>
    <w:rPr>
      <w:rFonts w:ascii="Calibri" w:hAnsi="Calibri" w:cs="Arial"/>
      <w:kern w:val="2"/>
      <w:sz w:val="21"/>
      <w:szCs w:val="22"/>
    </w:rPr>
  </w:style>
  <w:style w:type="paragraph" w:customStyle="1" w:styleId="5610">
    <w:name w:val="样式 56 10 磅"/>
    <w:pPr>
      <w:widowControl w:val="0"/>
      <w:jc w:val="both"/>
    </w:pPr>
    <w:rPr>
      <w:rFonts w:ascii="Calibri" w:hAnsi="Calibri" w:cs="Arial"/>
      <w:kern w:val="2"/>
      <w:sz w:val="21"/>
      <w:szCs w:val="22"/>
    </w:rPr>
  </w:style>
  <w:style w:type="paragraph" w:customStyle="1" w:styleId="5710">
    <w:name w:val="样式 57 10 磅"/>
    <w:pPr>
      <w:widowControl w:val="0"/>
      <w:jc w:val="both"/>
    </w:pPr>
    <w:rPr>
      <w:rFonts w:ascii="Calibri" w:hAnsi="Calibri" w:cs="Arial"/>
      <w:kern w:val="2"/>
      <w:sz w:val="21"/>
      <w:szCs w:val="22"/>
    </w:rPr>
  </w:style>
  <w:style w:type="paragraph" w:customStyle="1" w:styleId="5810">
    <w:name w:val="样式 58 10 磅"/>
    <w:pPr>
      <w:widowControl w:val="0"/>
      <w:jc w:val="both"/>
    </w:pPr>
    <w:rPr>
      <w:rFonts w:ascii="Calibri" w:hAnsi="Calibri" w:cs="Arial"/>
      <w:kern w:val="2"/>
      <w:sz w:val="21"/>
      <w:szCs w:val="22"/>
    </w:rPr>
  </w:style>
  <w:style w:type="paragraph" w:customStyle="1" w:styleId="5910">
    <w:name w:val="样式 59 10 磅"/>
    <w:pPr>
      <w:widowControl w:val="0"/>
      <w:jc w:val="both"/>
    </w:pPr>
    <w:rPr>
      <w:rFonts w:ascii="Calibri" w:hAnsi="Calibri" w:cs="Arial"/>
      <w:kern w:val="2"/>
      <w:sz w:val="21"/>
      <w:szCs w:val="22"/>
    </w:rPr>
  </w:style>
  <w:style w:type="paragraph" w:customStyle="1" w:styleId="6010">
    <w:name w:val="样式 60 10 磅"/>
    <w:pPr>
      <w:widowControl w:val="0"/>
      <w:jc w:val="both"/>
    </w:pPr>
    <w:rPr>
      <w:rFonts w:ascii="Calibri" w:hAnsi="Calibri" w:cs="Arial"/>
      <w:kern w:val="2"/>
      <w:sz w:val="21"/>
      <w:szCs w:val="22"/>
    </w:rPr>
  </w:style>
  <w:style w:type="paragraph" w:customStyle="1" w:styleId="6110">
    <w:name w:val="样式 61 10 磅"/>
    <w:pPr>
      <w:widowControl w:val="0"/>
      <w:jc w:val="both"/>
    </w:pPr>
    <w:rPr>
      <w:rFonts w:ascii="Calibri" w:hAnsi="Calibri" w:cs="Arial"/>
      <w:kern w:val="2"/>
      <w:sz w:val="21"/>
      <w:szCs w:val="22"/>
    </w:rPr>
  </w:style>
  <w:style w:type="paragraph" w:customStyle="1" w:styleId="6210">
    <w:name w:val="样式 62 10 磅"/>
    <w:pPr>
      <w:widowControl w:val="0"/>
      <w:jc w:val="both"/>
    </w:pPr>
    <w:rPr>
      <w:rFonts w:ascii="Calibri" w:hAnsi="Calibri" w:cs="Arial"/>
      <w:kern w:val="2"/>
      <w:sz w:val="21"/>
      <w:szCs w:val="22"/>
    </w:rPr>
  </w:style>
  <w:style w:type="paragraph" w:customStyle="1" w:styleId="6310">
    <w:name w:val="样式 63 10 磅"/>
    <w:pPr>
      <w:widowControl w:val="0"/>
      <w:jc w:val="both"/>
    </w:pPr>
    <w:rPr>
      <w:rFonts w:ascii="Calibri" w:hAnsi="Calibri" w:cs="Arial"/>
      <w:kern w:val="2"/>
      <w:sz w:val="21"/>
      <w:szCs w:val="22"/>
    </w:rPr>
  </w:style>
  <w:style w:type="paragraph" w:customStyle="1" w:styleId="6410">
    <w:name w:val="样式 64 10 磅"/>
    <w:pPr>
      <w:widowControl w:val="0"/>
      <w:jc w:val="both"/>
    </w:pPr>
    <w:rPr>
      <w:rFonts w:ascii="Calibri" w:hAnsi="Calibri" w:cs="Arial"/>
      <w:kern w:val="2"/>
      <w:sz w:val="21"/>
      <w:szCs w:val="22"/>
    </w:rPr>
  </w:style>
  <w:style w:type="paragraph" w:customStyle="1" w:styleId="6510">
    <w:name w:val="样式 65 10 磅"/>
    <w:pPr>
      <w:widowControl w:val="0"/>
      <w:jc w:val="both"/>
    </w:pPr>
    <w:rPr>
      <w:kern w:val="2"/>
      <w:sz w:val="21"/>
      <w:szCs w:val="24"/>
    </w:rPr>
  </w:style>
  <w:style w:type="paragraph" w:customStyle="1" w:styleId="229610">
    <w:name w:val="样式 2296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6610">
    <w:name w:val="样式 66 10 磅"/>
    <w:pPr>
      <w:widowControl w:val="0"/>
      <w:jc w:val="both"/>
    </w:pPr>
    <w:rPr>
      <w:rFonts w:ascii="Calibri" w:hAnsi="Calibri" w:cs="Arial"/>
      <w:kern w:val="2"/>
      <w:sz w:val="21"/>
      <w:szCs w:val="22"/>
    </w:rPr>
  </w:style>
  <w:style w:type="paragraph" w:customStyle="1" w:styleId="6710">
    <w:name w:val="样式 67 10 磅"/>
    <w:pPr>
      <w:widowControl w:val="0"/>
      <w:jc w:val="both"/>
    </w:pPr>
    <w:rPr>
      <w:rFonts w:ascii="Calibri"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893</TotalTime>
  <Pages>36</Pages>
  <Words>2044</Words>
  <Characters>11651</Characters>
  <Application>Microsoft Office Word</Application>
  <DocSecurity>0</DocSecurity>
  <Lines>97</Lines>
  <Paragraphs>27</Paragraphs>
  <ScaleCrop>false</ScaleCrop>
  <Company>Microsoft</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nj7184</cp:lastModifiedBy>
  <cp:revision>14</cp:revision>
  <cp:lastPrinted>2023-05-08T06:17:00Z</cp:lastPrinted>
  <dcterms:created xsi:type="dcterms:W3CDTF">2024-04-24T02:47:00Z</dcterms:created>
  <dcterms:modified xsi:type="dcterms:W3CDTF">2025-04-29T03:45:00Z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549C4AFD17B24936AA0EF0C3A256E8AB</vt:lpwstr>
  </property>
</Properties>
</file>